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74"/>
        <w:tblW w:w="14944" w:type="dxa"/>
        <w:tblLayout w:type="fixed"/>
        <w:tblLook w:val="04A0" w:firstRow="1" w:lastRow="0" w:firstColumn="1" w:lastColumn="0" w:noHBand="0" w:noVBand="1"/>
      </w:tblPr>
      <w:tblGrid>
        <w:gridCol w:w="921"/>
        <w:gridCol w:w="2450"/>
        <w:gridCol w:w="2587"/>
        <w:gridCol w:w="3937"/>
        <w:gridCol w:w="1236"/>
        <w:gridCol w:w="1451"/>
        <w:gridCol w:w="183"/>
        <w:gridCol w:w="2179"/>
      </w:tblGrid>
      <w:tr w:rsidR="008A7D39" w:rsidRPr="00A1336E" w:rsidTr="00A86FBB">
        <w:trPr>
          <w:trHeight w:val="787"/>
          <w:tblHeader/>
        </w:trPr>
        <w:tc>
          <w:tcPr>
            <w:tcW w:w="921" w:type="dxa"/>
            <w:tcBorders>
              <w:top w:val="single" w:sz="4" w:space="0" w:color="auto"/>
              <w:left w:val="single" w:sz="4" w:space="0" w:color="auto"/>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Action number</w:t>
            </w:r>
          </w:p>
        </w:tc>
        <w:tc>
          <w:tcPr>
            <w:tcW w:w="2450"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Planned action</w:t>
            </w:r>
          </w:p>
        </w:tc>
        <w:tc>
          <w:tcPr>
            <w:tcW w:w="258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Rationale</w:t>
            </w:r>
          </w:p>
        </w:tc>
        <w:tc>
          <w:tcPr>
            <w:tcW w:w="393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Key outputs and milestones</w:t>
            </w:r>
          </w:p>
        </w:tc>
        <w:tc>
          <w:tcPr>
            <w:tcW w:w="1236"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Timeframe</w:t>
            </w:r>
          </w:p>
        </w:tc>
        <w:tc>
          <w:tcPr>
            <w:tcW w:w="1634" w:type="dxa"/>
            <w:gridSpan w:val="2"/>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Role holder(s) responsible</w:t>
            </w:r>
          </w:p>
        </w:tc>
        <w:tc>
          <w:tcPr>
            <w:tcW w:w="2179"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Success criteria and outcome</w:t>
            </w:r>
          </w:p>
        </w:tc>
      </w:tr>
      <w:tr w:rsidR="008A7D39" w:rsidRPr="00A1336E" w:rsidTr="00A86FBB">
        <w:trPr>
          <w:trHeight w:val="414"/>
        </w:trPr>
        <w:tc>
          <w:tcPr>
            <w:tcW w:w="14944" w:type="dxa"/>
            <w:gridSpan w:val="8"/>
            <w:tcBorders>
              <w:top w:val="single" w:sz="4" w:space="0" w:color="auto"/>
              <w:left w:val="single" w:sz="4" w:space="0" w:color="auto"/>
              <w:bottom w:val="single" w:sz="4" w:space="0" w:color="auto"/>
              <w:right w:val="single" w:sz="4" w:space="0" w:color="auto"/>
            </w:tcBorders>
            <w:shd w:val="clear" w:color="auto" w:fill="D9EDFF"/>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2: Description of the Changes Arising from the Restructure</w:t>
            </w:r>
          </w:p>
        </w:tc>
      </w:tr>
      <w:tr w:rsidR="008A7D39" w:rsidRPr="00A1336E"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A1336E" w:rsidRDefault="008A7D39" w:rsidP="00A86FBB">
            <w:pPr>
              <w:spacing w:before="0" w:line="240" w:lineRule="auto"/>
            </w:pPr>
            <w:r w:rsidRPr="00A1336E">
              <w:t>2.</w:t>
            </w:r>
            <w:r>
              <w:t>1</w:t>
            </w:r>
          </w:p>
        </w:tc>
        <w:tc>
          <w:tcPr>
            <w:tcW w:w="2450"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pPr>
            <w:r w:rsidRPr="00A1336E">
              <w:t>Develop a Communication Strategy</w:t>
            </w:r>
          </w:p>
        </w:tc>
        <w:tc>
          <w:tcPr>
            <w:tcW w:w="258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rPr>
                <w:i/>
              </w:rPr>
              <w:t>Communication difficulties in a large school</w:t>
            </w:r>
            <w:r w:rsidRPr="00A1336E">
              <w:t>.  Staff are not always aware of, and do not know how to input into, processes and activities occurring in the school.  This results in, especially, junior staff (who are disproportionately female) being excluded from decision making processes and feeling disempowered.  Communication mechanisms do not facilitate the participation of less confident staff in school processes.  Staff may be unaware of processes or may not hear about management decisions in a timely fashion.  This results in reduced overall staff satisfaction, which is reflected in staff surveys.</w:t>
            </w:r>
          </w:p>
          <w:p w:rsidR="008A7D39" w:rsidRPr="00A1336E" w:rsidRDefault="008A7D39" w:rsidP="00A86FBB">
            <w:pPr>
              <w:spacing w:before="0" w:line="240" w:lineRule="auto"/>
            </w:pPr>
            <w:r w:rsidRPr="00A1336E">
              <w:t>working hours, etc.</w:t>
            </w:r>
          </w:p>
        </w:tc>
        <w:tc>
          <w:tcPr>
            <w:tcW w:w="393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rPr>
                <w:i/>
              </w:rPr>
              <w:t>1. Enhancement of intranet, where all information will be archived</w:t>
            </w:r>
            <w:r w:rsidRPr="00A1336E">
              <w:t>.  Following the reorganisation, an intranet was established but has to date only been partially populated.  We will establish an on-going process of updating this.  This will be used to make available minutes of all formal meetings within the school, redacted if including sensitive information.  It will be continuously edited and work towards include clear information about all procedures in place in the school</w:t>
            </w:r>
          </w:p>
          <w:p w:rsidR="008A7D39" w:rsidRPr="00A1336E" w:rsidRDefault="008A7D39" w:rsidP="00A86FBB">
            <w:pPr>
              <w:spacing w:before="0"/>
            </w:pPr>
            <w:r w:rsidRPr="00A1336E">
              <w:rPr>
                <w:i/>
              </w:rPr>
              <w:t>2. Routine communication via email to be better managed, though use of collated, moderated emails.</w:t>
            </w:r>
            <w:r w:rsidRPr="00A1336E">
              <w:t xml:space="preserve">  Currently many matters are communicated via emails to school wide list servers which are unmoderated.  </w:t>
            </w:r>
            <w:proofErr w:type="gramStart"/>
            <w:r w:rsidRPr="00A1336E">
              <w:t>This results</w:t>
            </w:r>
            <w:proofErr w:type="gramEnd"/>
            <w:r w:rsidRPr="00A1336E">
              <w:t xml:space="preserve"> in multiple emails per day being send round, with individuals often using reply-all when responding to emails (so sending personal information to an inappropriate audience).  This increases the risk of important messages being overlooked.  In future, emails will be collated on a daily basis, checked for appropriateness by a member of office staff, and formatted in easier to navigate format.  Messages, unless urgent, to be sent maximum once per day.</w:t>
            </w:r>
          </w:p>
          <w:p w:rsidR="008A7D39" w:rsidRPr="00A1336E" w:rsidRDefault="008A7D39" w:rsidP="00A86FBB">
            <w:pPr>
              <w:spacing w:before="0"/>
            </w:pPr>
            <w:r w:rsidRPr="00A1336E">
              <w:rPr>
                <w:i/>
              </w:rPr>
              <w:t>3. Production of a monthly internal newsletter to communicate strategic developments</w:t>
            </w:r>
            <w:r w:rsidRPr="00A1336E">
              <w:t xml:space="preserve">.  Newsletter to be produced to coincide with meetings of the school leadership team, with school directors each being required to update </w:t>
            </w:r>
            <w:r w:rsidRPr="00A1336E">
              <w:lastRenderedPageBreak/>
              <w:t>staff on developments in their area of responsibility, with each clearly defining processes whereby staff can input into the decision making process where appropriate.</w:t>
            </w:r>
          </w:p>
          <w:p w:rsidR="008A7D39" w:rsidRPr="00A1336E" w:rsidRDefault="008A7D39" w:rsidP="00A86FBB">
            <w:pPr>
              <w:spacing w:before="0"/>
            </w:pPr>
            <w:r w:rsidRPr="00A1336E">
              <w:rPr>
                <w:i/>
              </w:rPr>
              <w:t>4. Improved communication prior to and following school board meetings</w:t>
            </w:r>
            <w:r w:rsidRPr="00A1336E">
              <w:t xml:space="preserve">.  The school board is a body involving all staff members intended to give staff a voice in the school.  Reports are presented by head of school and directors.  Reports are often not submitted in a timely </w:t>
            </w:r>
            <w:r>
              <w:t>fashion.</w:t>
            </w:r>
          </w:p>
          <w:p w:rsidR="008A7D39" w:rsidRPr="00A1336E" w:rsidRDefault="008A7D39" w:rsidP="00A86FBB">
            <w:pPr>
              <w:spacing w:before="0"/>
            </w:pPr>
          </w:p>
        </w:tc>
        <w:tc>
          <w:tcPr>
            <w:tcW w:w="1236"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lastRenderedPageBreak/>
              <w:t>2018/2019 academic year</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t>1. Head of School Administration with support of IT services as required.  All members of School Leadership Team to be responsible for providing and regularly reviewing content as required.  All staff to be able to identify content desired for addition via a clear link on intranet.  Secretaries for all formal committees within the school responsible for submission of minutes.</w:t>
            </w:r>
          </w:p>
          <w:p w:rsidR="008A7D39" w:rsidRPr="00A1336E" w:rsidRDefault="008A7D39" w:rsidP="00A86FBB">
            <w:pPr>
              <w:spacing w:before="0"/>
            </w:pPr>
            <w:r w:rsidRPr="00A1336E">
              <w:t xml:space="preserve">2. Email communications to be moderated by a member of the PSS staff.  IT </w:t>
            </w:r>
            <w:r w:rsidRPr="00A1336E">
              <w:lastRenderedPageBreak/>
              <w:t>services to advise on mechanisms for delivery of messages</w:t>
            </w:r>
          </w:p>
          <w:p w:rsidR="008A7D39" w:rsidRPr="00A1336E" w:rsidRDefault="008A7D39" w:rsidP="00A86FBB">
            <w:pPr>
              <w:spacing w:before="0"/>
            </w:pPr>
            <w:r w:rsidRPr="00A1336E">
              <w:t>3. Newsletter to be collated by member of PSS staff, with input required from directors.  Other staff invited to input, with clearly advertised deadlines</w:t>
            </w:r>
          </w:p>
          <w:p w:rsidR="008A7D39" w:rsidRPr="00816963" w:rsidRDefault="008A7D39" w:rsidP="00A86FBB">
            <w:pPr>
              <w:spacing w:before="0"/>
            </w:pPr>
            <w:r w:rsidRPr="00A1336E">
              <w:t>4. Chair of school board responsible for communication before and after board meetings.  School directors and head of school responsible for providing timely reports.</w:t>
            </w:r>
          </w:p>
        </w:tc>
        <w:tc>
          <w:tcPr>
            <w:tcW w:w="2179"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lastRenderedPageBreak/>
              <w:t>1. Improved usability and usefulness of intranet, monitored through number of times site accessed and documents downloaded.  Improved scores and comments in staff surveys.</w:t>
            </w:r>
          </w:p>
          <w:p w:rsidR="008A7D39" w:rsidRPr="00A1336E" w:rsidRDefault="008A7D39" w:rsidP="00A86FBB">
            <w:pPr>
              <w:spacing w:before="0"/>
            </w:pPr>
            <w:r w:rsidRPr="00A1336E">
              <w:t>2. Reduction in the number of emails sent to staff.  Improved scores and comments in staff surveys.</w:t>
            </w:r>
          </w:p>
          <w:p w:rsidR="008A7D39" w:rsidRPr="00A1336E" w:rsidRDefault="008A7D39" w:rsidP="00A86FBB">
            <w:pPr>
              <w:spacing w:before="0"/>
            </w:pPr>
            <w:r w:rsidRPr="00A1336E">
              <w:t>3. Directors receiving more inputs from the staff in relation to their areas of responsibility.  Improved scores and comments in staff surveys.</w:t>
            </w:r>
          </w:p>
          <w:p w:rsidR="008A7D39" w:rsidRPr="00A1336E" w:rsidRDefault="008A7D39" w:rsidP="00A86FBB">
            <w:pPr>
              <w:spacing w:before="0"/>
            </w:pPr>
            <w:r w:rsidRPr="00A1336E">
              <w:t>4. Better attendance and participation at school board meetings, monitored through attendance records and minutes.</w:t>
            </w:r>
          </w:p>
          <w:p w:rsidR="008A7D39" w:rsidRPr="00A1336E" w:rsidRDefault="008A7D39" w:rsidP="00A86FBB">
            <w:pPr>
              <w:spacing w:before="0" w:line="240" w:lineRule="auto"/>
            </w:pPr>
          </w:p>
        </w:tc>
      </w:tr>
      <w:tr w:rsidR="008A7D39" w:rsidRPr="00A1336E" w:rsidTr="00A86FBB">
        <w:trPr>
          <w:trHeight w:val="557"/>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
                <w:bCs/>
                <w:color w:val="000000"/>
                <w:lang w:eastAsia="en-GB"/>
              </w:rPr>
            </w:pPr>
            <w:r w:rsidRPr="00A1336E">
              <w:lastRenderedPageBreak/>
              <w:t>2</w:t>
            </w:r>
            <w:r>
              <w:t>.2</w:t>
            </w:r>
          </w:p>
        </w:tc>
        <w:tc>
          <w:tcPr>
            <w:tcW w:w="2450"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5301A6">
              <w:t>Develop a workload model that enables comparison of teaching, research and administrative roles by gender or any other special characteristics.</w:t>
            </w:r>
          </w:p>
        </w:tc>
        <w:tc>
          <w:tcPr>
            <w:tcW w:w="258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t xml:space="preserve">Ex-FLS </w:t>
            </w:r>
            <w:proofErr w:type="gramStart"/>
            <w:r w:rsidRPr="00A1336E">
              <w:t>staff have</w:t>
            </w:r>
            <w:proofErr w:type="gramEnd"/>
            <w:r w:rsidRPr="00A1336E">
              <w:t xml:space="preserve"> a greater proportion of women. There is a need to determine teaching loads for ex-FLS staff versus ex-SEAES staff to better understand any gender differences in teaching loads and roles. Differences in practice operated in the two original Schools so comparative analysis will help </w:t>
            </w:r>
            <w:r w:rsidRPr="00A1336E">
              <w:lastRenderedPageBreak/>
              <w:t>to identify best practice.</w:t>
            </w:r>
          </w:p>
        </w:tc>
        <w:tc>
          <w:tcPr>
            <w:tcW w:w="393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lastRenderedPageBreak/>
              <w:t xml:space="preserve">Workload model </w:t>
            </w:r>
          </w:p>
          <w:p w:rsidR="008A7D39" w:rsidRPr="00A1336E" w:rsidRDefault="008A7D39" w:rsidP="00A86FBB">
            <w:pPr>
              <w:spacing w:before="0"/>
            </w:pPr>
          </w:p>
          <w:p w:rsidR="008A7D39" w:rsidRPr="00A1336E" w:rsidRDefault="008A7D39" w:rsidP="00A86FBB">
            <w:pPr>
              <w:spacing w:before="0"/>
            </w:pPr>
          </w:p>
          <w:p w:rsidR="008A7D39" w:rsidRPr="00A1336E" w:rsidRDefault="008A7D39" w:rsidP="00A86FBB">
            <w:pPr>
              <w:spacing w:before="0" w:line="240" w:lineRule="auto"/>
              <w:rPr>
                <w:rFonts w:eastAsia="Times New Roman"/>
                <w:bCs/>
                <w:color w:val="000000"/>
                <w:lang w:eastAsia="en-GB"/>
              </w:rPr>
            </w:pPr>
            <w:r w:rsidRPr="00A1336E">
              <w:t>Analysis of workload model data</w:t>
            </w:r>
          </w:p>
        </w:tc>
        <w:tc>
          <w:tcPr>
            <w:tcW w:w="1236"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t>September 2018</w:t>
            </w:r>
          </w:p>
          <w:p w:rsidR="008A7D39" w:rsidRPr="00A1336E" w:rsidRDefault="008A7D39" w:rsidP="00A86FBB">
            <w:pPr>
              <w:spacing w:before="0"/>
            </w:pPr>
          </w:p>
          <w:p w:rsidR="008A7D39" w:rsidRPr="00A1336E" w:rsidRDefault="008A7D39" w:rsidP="00A86FBB">
            <w:pPr>
              <w:spacing w:before="0" w:line="240" w:lineRule="auto"/>
              <w:rPr>
                <w:rFonts w:eastAsia="Times New Roman"/>
                <w:bCs/>
                <w:color w:val="000000"/>
                <w:lang w:eastAsia="en-GB"/>
              </w:rPr>
            </w:pPr>
            <w:r w:rsidRPr="00A1336E">
              <w:t>December 2018</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rPr>
                <w:rFonts w:eastAsia="Times New Roman"/>
              </w:rPr>
            </w:pPr>
            <w:r w:rsidRPr="00A1336E">
              <w:rPr>
                <w:rFonts w:eastAsia="Times New Roman"/>
              </w:rPr>
              <w:t>Head of School</w:t>
            </w:r>
          </w:p>
          <w:p w:rsidR="008A7D39" w:rsidRPr="00A1336E" w:rsidRDefault="008A7D39" w:rsidP="00A86FBB">
            <w:pPr>
              <w:spacing w:before="0"/>
              <w:rPr>
                <w:rFonts w:eastAsia="Times New Roman"/>
              </w:rPr>
            </w:pPr>
          </w:p>
          <w:p w:rsidR="008A7D39" w:rsidRPr="00A1336E" w:rsidRDefault="008A7D39" w:rsidP="00A86FBB">
            <w:pPr>
              <w:spacing w:before="0"/>
              <w:rPr>
                <w:rFonts w:eastAsia="Times New Roman"/>
              </w:rPr>
            </w:pPr>
            <w:r w:rsidRPr="00A1336E">
              <w:rPr>
                <w:rFonts w:eastAsia="Times New Roman"/>
              </w:rPr>
              <w:t xml:space="preserve">Head of School Administration </w:t>
            </w:r>
          </w:p>
          <w:p w:rsidR="008A7D39" w:rsidRPr="00A1336E" w:rsidRDefault="008A7D39" w:rsidP="00A86FBB">
            <w:pPr>
              <w:spacing w:before="0"/>
              <w:rPr>
                <w:rFonts w:eastAsia="Times New Roman"/>
              </w:rPr>
            </w:pPr>
          </w:p>
          <w:p w:rsidR="008A7D39" w:rsidRPr="00A1336E" w:rsidRDefault="008A7D39" w:rsidP="00A86FBB">
            <w:pPr>
              <w:spacing w:before="0"/>
              <w:rPr>
                <w:rFonts w:eastAsia="Times New Roman"/>
              </w:rPr>
            </w:pPr>
            <w:r w:rsidRPr="00A1336E">
              <w:rPr>
                <w:rFonts w:eastAsia="Times New Roman"/>
              </w:rPr>
              <w:t>Director of Social Responsibility</w:t>
            </w:r>
          </w:p>
          <w:p w:rsidR="008A7D39" w:rsidRPr="00A1336E" w:rsidRDefault="008A7D39" w:rsidP="00A86FBB">
            <w:pPr>
              <w:spacing w:before="0" w:line="240" w:lineRule="auto"/>
              <w:rPr>
                <w:rFonts w:eastAsia="Times New Roman"/>
                <w:bCs/>
                <w:color w:val="000000"/>
                <w:lang w:eastAsia="en-GB"/>
              </w:rPr>
            </w:pPr>
          </w:p>
        </w:tc>
        <w:tc>
          <w:tcPr>
            <w:tcW w:w="2179"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t>Data available to evaluate any differences by gender in teaching loads, administrative roles, etc.</w:t>
            </w:r>
          </w:p>
        </w:tc>
      </w:tr>
      <w:tr w:rsidR="008A7D39" w:rsidRPr="00A1336E"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
                <w:bCs/>
                <w:color w:val="000000"/>
                <w:lang w:eastAsia="en-GB"/>
              </w:rPr>
            </w:pPr>
            <w:r w:rsidRPr="00A1336E">
              <w:lastRenderedPageBreak/>
              <w:t>2.</w:t>
            </w:r>
            <w:r>
              <w:t>3</w:t>
            </w:r>
          </w:p>
        </w:tc>
        <w:tc>
          <w:tcPr>
            <w:tcW w:w="2450"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rPr>
                <w:rFonts w:cs="Calibri"/>
              </w:rPr>
              <w:t>Develop clear procedures and criteria for leadership rol</w:t>
            </w:r>
            <w:r>
              <w:rPr>
                <w:rFonts w:cs="Calibri"/>
              </w:rPr>
              <w:t>es such as research group leads.</w:t>
            </w:r>
          </w:p>
        </w:tc>
        <w:tc>
          <w:tcPr>
            <w:tcW w:w="258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t>Previously senior roles have not been made available to the widest possible range of candidates i.e. traditionally roles have not been openly advertised. More recently this has been changed but this change needs to be embedded in policy</w:t>
            </w:r>
            <w:r>
              <w:t>.</w:t>
            </w:r>
          </w:p>
        </w:tc>
        <w:tc>
          <w:tcPr>
            <w:tcW w:w="393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t>A policy on internal appointment for significant management positions</w:t>
            </w:r>
            <w:r>
              <w:t>.</w:t>
            </w:r>
            <w:r w:rsidRPr="00A1336E">
              <w:t xml:space="preserve"> </w:t>
            </w:r>
          </w:p>
        </w:tc>
        <w:tc>
          <w:tcPr>
            <w:tcW w:w="1236"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t>September 2018</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Pr="00816963" w:rsidRDefault="008A7D39" w:rsidP="00A86FBB">
            <w:pPr>
              <w:spacing w:before="0" w:line="240" w:lineRule="auto"/>
            </w:pPr>
            <w:r w:rsidRPr="00816963">
              <w:t>Head of School</w:t>
            </w:r>
          </w:p>
          <w:p w:rsidR="008A7D39" w:rsidRPr="00816963" w:rsidRDefault="008A7D39" w:rsidP="00A86FBB">
            <w:pPr>
              <w:spacing w:before="0" w:line="240" w:lineRule="auto"/>
            </w:pPr>
          </w:p>
          <w:p w:rsidR="008A7D39" w:rsidRPr="00816963" w:rsidRDefault="008A7D39" w:rsidP="00A86FBB">
            <w:pPr>
              <w:spacing w:before="0" w:line="240" w:lineRule="auto"/>
            </w:pPr>
            <w:r w:rsidRPr="00816963">
              <w:t xml:space="preserve">Head of School Administration </w:t>
            </w:r>
          </w:p>
          <w:p w:rsidR="008A7D39" w:rsidRPr="00816963" w:rsidRDefault="008A7D39" w:rsidP="00A86FBB">
            <w:pPr>
              <w:spacing w:before="0" w:line="240" w:lineRule="auto"/>
            </w:pPr>
          </w:p>
          <w:p w:rsidR="008A7D39" w:rsidRPr="00816963" w:rsidRDefault="008A7D39" w:rsidP="00A86FBB">
            <w:pPr>
              <w:spacing w:before="0" w:line="240" w:lineRule="auto"/>
            </w:pPr>
            <w:r w:rsidRPr="00816963">
              <w:t>HR Representative for School</w:t>
            </w:r>
          </w:p>
          <w:p w:rsidR="008A7D39" w:rsidRPr="00816963" w:rsidRDefault="008A7D39" w:rsidP="00A86FBB">
            <w:pPr>
              <w:spacing w:before="0" w:line="240" w:lineRule="auto"/>
            </w:pPr>
          </w:p>
        </w:tc>
        <w:tc>
          <w:tcPr>
            <w:tcW w:w="2179"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t>Policy agreed and implemented by School Leadership Team</w:t>
            </w:r>
          </w:p>
        </w:tc>
      </w:tr>
      <w:tr w:rsidR="008A7D39" w:rsidRPr="00A1336E"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
                <w:bCs/>
                <w:color w:val="000000"/>
                <w:lang w:eastAsia="en-GB"/>
              </w:rPr>
            </w:pPr>
            <w:r w:rsidRPr="00A1336E">
              <w:t>2.</w:t>
            </w:r>
            <w:r>
              <w:t>4</w:t>
            </w:r>
          </w:p>
        </w:tc>
        <w:tc>
          <w:tcPr>
            <w:tcW w:w="2450"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t>Embed Equality Diversity and Inclusion Committee into School Processes, particularly Athena Swan</w:t>
            </w:r>
            <w:r>
              <w:t>.</w:t>
            </w:r>
            <w:r w:rsidRPr="00A1336E">
              <w:t xml:space="preserve"> </w:t>
            </w:r>
          </w:p>
        </w:tc>
        <w:tc>
          <w:tcPr>
            <w:tcW w:w="258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A1336E">
              <w:t>Need to establish processes going forward to collect and analyse relevant data for Athena Swan and ensure procedures and action plans are implemented</w:t>
            </w:r>
            <w:r>
              <w:t>.</w:t>
            </w:r>
          </w:p>
        </w:tc>
        <w:tc>
          <w:tcPr>
            <w:tcW w:w="393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t>Action Plan for data to collect and review of relevant policies.</w:t>
            </w:r>
          </w:p>
          <w:p w:rsidR="008A7D39" w:rsidRPr="00A1336E" w:rsidRDefault="008A7D39" w:rsidP="00A86FBB">
            <w:pPr>
              <w:spacing w:before="0"/>
            </w:pPr>
            <w:r w:rsidRPr="00A1336E">
              <w:t>Modified school policies embedded into School website</w:t>
            </w:r>
            <w:r>
              <w:t>.</w:t>
            </w:r>
          </w:p>
        </w:tc>
        <w:tc>
          <w:tcPr>
            <w:tcW w:w="1236"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t>October 2018</w:t>
            </w:r>
          </w:p>
          <w:p w:rsidR="008A7D39" w:rsidRPr="00A1336E" w:rsidRDefault="008A7D39" w:rsidP="00A86FBB">
            <w:pPr>
              <w:spacing w:before="0"/>
            </w:pPr>
          </w:p>
          <w:p w:rsidR="008A7D39" w:rsidRPr="00A1336E" w:rsidRDefault="008A7D39" w:rsidP="00A86FBB">
            <w:pPr>
              <w:spacing w:before="0"/>
            </w:pPr>
          </w:p>
          <w:p w:rsidR="008A7D39" w:rsidRPr="00A1336E" w:rsidRDefault="008A7D39" w:rsidP="00A86FBB">
            <w:pPr>
              <w:spacing w:before="0"/>
            </w:pPr>
            <w:r w:rsidRPr="00A1336E">
              <w:t>December 2018</w:t>
            </w:r>
          </w:p>
          <w:p w:rsidR="008A7D39" w:rsidRPr="00A1336E" w:rsidRDefault="008A7D39" w:rsidP="00A86FBB">
            <w:pPr>
              <w:spacing w:before="0" w:line="240" w:lineRule="auto"/>
              <w:rPr>
                <w:rFonts w:eastAsia="Times New Roman"/>
                <w:bCs/>
                <w:color w:val="000000"/>
                <w:lang w:eastAsia="en-GB"/>
              </w:rPr>
            </w:pP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t>Chair EDI Committee</w:t>
            </w:r>
          </w:p>
          <w:p w:rsidR="008A7D39" w:rsidRPr="00A1336E" w:rsidRDefault="008A7D39" w:rsidP="00A86FBB">
            <w:pPr>
              <w:spacing w:before="0"/>
            </w:pPr>
          </w:p>
          <w:p w:rsidR="008A7D39" w:rsidRPr="00A1336E" w:rsidRDefault="008A7D39" w:rsidP="00A86FBB">
            <w:pPr>
              <w:spacing w:before="0" w:line="240" w:lineRule="auto"/>
              <w:rPr>
                <w:rFonts w:eastAsia="Times New Roman"/>
                <w:bCs/>
                <w:color w:val="000000"/>
                <w:lang w:eastAsia="en-GB"/>
              </w:rPr>
            </w:pPr>
            <w:r w:rsidRPr="00A1336E">
              <w:t>Director of Social Responsibility</w:t>
            </w:r>
          </w:p>
        </w:tc>
        <w:tc>
          <w:tcPr>
            <w:tcW w:w="2179"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pPr>
            <w:r w:rsidRPr="00A1336E">
              <w:t>Action Plan approved by SLT</w:t>
            </w:r>
          </w:p>
          <w:p w:rsidR="008A7D39" w:rsidRPr="00A1336E" w:rsidRDefault="008A7D39" w:rsidP="00A86FBB">
            <w:pPr>
              <w:spacing w:before="0"/>
            </w:pPr>
          </w:p>
          <w:p w:rsidR="008A7D39" w:rsidRPr="00A1336E" w:rsidRDefault="008A7D39" w:rsidP="00A86FBB">
            <w:pPr>
              <w:spacing w:before="0"/>
            </w:pPr>
            <w:r w:rsidRPr="00A1336E">
              <w:t>Relevant data bases started</w:t>
            </w:r>
          </w:p>
          <w:p w:rsidR="008A7D39" w:rsidRPr="00A1336E" w:rsidRDefault="008A7D39" w:rsidP="00A86FBB">
            <w:pPr>
              <w:spacing w:before="0"/>
            </w:pPr>
          </w:p>
          <w:p w:rsidR="008A7D39" w:rsidRPr="00A1336E" w:rsidRDefault="008A7D39" w:rsidP="00A86FBB">
            <w:pPr>
              <w:spacing w:before="0" w:line="240" w:lineRule="auto"/>
              <w:rPr>
                <w:rFonts w:eastAsia="Times New Roman"/>
                <w:bCs/>
                <w:color w:val="000000"/>
                <w:lang w:eastAsia="en-GB"/>
              </w:rPr>
            </w:pPr>
            <w:r w:rsidRPr="00A1336E">
              <w:t>School website updated with relevant policies and procedures, including modifications where needed</w:t>
            </w:r>
          </w:p>
        </w:tc>
      </w:tr>
      <w:tr w:rsidR="008A7D39" w:rsidRPr="00A1336E" w:rsidTr="00A86FBB">
        <w:trPr>
          <w:trHeight w:val="787"/>
          <w:tblHeader/>
        </w:trPr>
        <w:tc>
          <w:tcPr>
            <w:tcW w:w="921" w:type="dxa"/>
            <w:tcBorders>
              <w:top w:val="single" w:sz="4" w:space="0" w:color="auto"/>
              <w:left w:val="single" w:sz="4" w:space="0" w:color="auto"/>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Action number</w:t>
            </w:r>
          </w:p>
        </w:tc>
        <w:tc>
          <w:tcPr>
            <w:tcW w:w="2450"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Planned action</w:t>
            </w:r>
          </w:p>
        </w:tc>
        <w:tc>
          <w:tcPr>
            <w:tcW w:w="258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Rationale</w:t>
            </w:r>
          </w:p>
        </w:tc>
        <w:tc>
          <w:tcPr>
            <w:tcW w:w="393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Key outputs and milestones</w:t>
            </w:r>
          </w:p>
        </w:tc>
        <w:tc>
          <w:tcPr>
            <w:tcW w:w="1236"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Timeframe</w:t>
            </w:r>
          </w:p>
        </w:tc>
        <w:tc>
          <w:tcPr>
            <w:tcW w:w="1634" w:type="dxa"/>
            <w:gridSpan w:val="2"/>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Role holder(s) responsible</w:t>
            </w:r>
          </w:p>
        </w:tc>
        <w:tc>
          <w:tcPr>
            <w:tcW w:w="2179"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Success criteria and outcome</w:t>
            </w:r>
          </w:p>
        </w:tc>
      </w:tr>
      <w:tr w:rsidR="008A7D39" w:rsidRPr="00A1336E" w:rsidTr="00A86FBB">
        <w:trPr>
          <w:trHeight w:val="414"/>
        </w:trPr>
        <w:tc>
          <w:tcPr>
            <w:tcW w:w="14944" w:type="dxa"/>
            <w:gridSpan w:val="8"/>
            <w:tcBorders>
              <w:top w:val="single" w:sz="4" w:space="0" w:color="auto"/>
              <w:left w:val="single" w:sz="4" w:space="0" w:color="auto"/>
              <w:bottom w:val="single" w:sz="4" w:space="0" w:color="auto"/>
              <w:right w:val="single" w:sz="4" w:space="0" w:color="auto"/>
            </w:tcBorders>
            <w:shd w:val="clear" w:color="auto" w:fill="D9EDFF"/>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 xml:space="preserve">3: The Self-Assessment Process  </w:t>
            </w:r>
          </w:p>
        </w:tc>
      </w:tr>
      <w:tr w:rsidR="008A7D39" w:rsidRPr="00A1336E" w:rsidTr="00A86FBB">
        <w:trPr>
          <w:trHeight w:val="841"/>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2004F1" w:rsidRDefault="008A7D39" w:rsidP="00A86FBB">
            <w:pPr>
              <w:spacing w:before="0" w:line="240" w:lineRule="auto"/>
            </w:pPr>
            <w:r>
              <w:t xml:space="preserve">3.1 </w:t>
            </w:r>
          </w:p>
        </w:tc>
        <w:tc>
          <w:tcPr>
            <w:tcW w:w="2450"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rsidRPr="00EA5EAC">
              <w:t>The Self-Assessment Team constituency to be reviewed annually through The Equality and Diversity Committee will advise the HOS on the composition of the SAT in regard to membership and gender equality.</w:t>
            </w:r>
          </w:p>
        </w:tc>
        <w:tc>
          <w:tcPr>
            <w:tcW w:w="258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t>Need to ensure that the SAT reflects the composition of the school.</w:t>
            </w:r>
          </w:p>
        </w:tc>
        <w:tc>
          <w:tcPr>
            <w:tcW w:w="3937"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t>Formal annual review of SAT Committee composition with opportunities made available for relevant staff to contribute.</w:t>
            </w:r>
          </w:p>
        </w:tc>
        <w:tc>
          <w:tcPr>
            <w:tcW w:w="1236"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t>Annually starting April 2018</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t>Chair of SAT</w:t>
            </w:r>
          </w:p>
        </w:tc>
        <w:tc>
          <w:tcPr>
            <w:tcW w:w="2179" w:type="dxa"/>
            <w:tcBorders>
              <w:top w:val="single" w:sz="4" w:space="0" w:color="auto"/>
              <w:left w:val="nil"/>
              <w:bottom w:val="single" w:sz="4" w:space="0" w:color="auto"/>
              <w:right w:val="single" w:sz="4" w:space="0" w:color="auto"/>
            </w:tcBorders>
            <w:shd w:val="clear" w:color="auto" w:fill="auto"/>
          </w:tcPr>
          <w:p w:rsidR="008A7D39" w:rsidRPr="00A1336E" w:rsidRDefault="008A7D39" w:rsidP="00A86FBB">
            <w:pPr>
              <w:spacing w:before="0" w:line="240" w:lineRule="auto"/>
              <w:rPr>
                <w:rFonts w:eastAsia="Times New Roman"/>
                <w:bCs/>
                <w:color w:val="000000"/>
                <w:lang w:eastAsia="en-GB"/>
              </w:rPr>
            </w:pPr>
            <w:r>
              <w:t>Change in membership and gender composition over time.</w:t>
            </w:r>
          </w:p>
        </w:tc>
      </w:tr>
      <w:tr w:rsidR="008A7D39" w:rsidRPr="00A1336E"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line="240" w:lineRule="auto"/>
            </w:pPr>
            <w:r>
              <w:lastRenderedPageBreak/>
              <w:t>3.2</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EA5EAC">
              <w:t>To analyse and compare the Athena SWAN 2016 and 2018 surveys and revise the Athena SWAN Action Plan in light of the results.</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To monitor the progress of the Action Plan and ensure the School is adhering to Athena SWAN principles.</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Athena SWAN Survey to be conducted in December 2018.</w:t>
            </w:r>
          </w:p>
          <w:p w:rsidR="008A7D39" w:rsidRDefault="008A7D39" w:rsidP="00A86FBB">
            <w:pPr>
              <w:spacing w:before="0" w:line="240" w:lineRule="auto"/>
            </w:pPr>
            <w:r>
              <w:t>EDI Committee and Athena SWAN SAT to analyse data.</w:t>
            </w:r>
          </w:p>
          <w:p w:rsidR="008A7D39" w:rsidRDefault="008A7D39" w:rsidP="00A86FBB">
            <w:pPr>
              <w:spacing w:before="0" w:line="240" w:lineRule="auto"/>
            </w:pPr>
            <w:r>
              <w:t>Action Plan to be revised in light of the results.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December 2018 and 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Chair of SAT</w:t>
            </w:r>
          </w:p>
          <w:p w:rsidR="008A7D39" w:rsidRDefault="008A7D39" w:rsidP="00A86FBB">
            <w:pPr>
              <w:spacing w:before="0"/>
            </w:pPr>
            <w:r>
              <w:t>Chair EDI Committee</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 xml:space="preserve">Improved responses over future surveys as the School responds proactively to the survey results. </w:t>
            </w:r>
          </w:p>
        </w:tc>
      </w:tr>
      <w:tr w:rsidR="008A7D39" w:rsidRPr="00A1336E"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line="240" w:lineRule="auto"/>
            </w:pPr>
            <w:r>
              <w:t>3.3</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3D592F">
              <w:t>Ensure communication between SAT and EDI Committee (the EDI to meet every two months with SAT representation, and members of the EDI on SAT).</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EDI Committee report to SAT with advice and evidence base. Feedback information from SAT to EDI.</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Minutes of SAT and EDI Committee documenting decisions and actions for each meeting.</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Pr>
                <w:rFonts w:ascii="Cambria" w:hAnsi="Cambria"/>
              </w:rP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Chair EDI Committee</w:t>
            </w:r>
          </w:p>
          <w:p w:rsidR="008A7D39" w:rsidRDefault="008A7D39" w:rsidP="00A86FBB">
            <w:pPr>
              <w:spacing w:before="0"/>
            </w:pPr>
          </w:p>
          <w:p w:rsidR="008A7D39" w:rsidRDefault="008A7D39" w:rsidP="00A86FBB">
            <w:pPr>
              <w:spacing w:before="0"/>
            </w:pPr>
            <w:r>
              <w:t xml:space="preserve">Head of SAT </w:t>
            </w:r>
          </w:p>
          <w:p w:rsidR="008A7D39" w:rsidRDefault="008A7D39" w:rsidP="00A86FBB">
            <w:pPr>
              <w:spacing w:before="0"/>
            </w:pP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Recommendations from EDI implemented via SAT</w:t>
            </w:r>
          </w:p>
        </w:tc>
      </w:tr>
      <w:tr w:rsidR="008A7D39" w:rsidRPr="00A1336E"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line="240" w:lineRule="auto"/>
            </w:pPr>
            <w:r>
              <w:t>3.4</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Ensure communication between EDI Committee and School Board.</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Need to involve the School Board, and thereby all members of the School, in decision making process to achieve equality and inclusion through all aspects of School life.</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Minutes of School Board and EDI Committee documenting decisions and actions.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ascii="Cambria" w:hAnsi="Cambria"/>
              </w:rPr>
            </w:pPr>
            <w:r>
              <w:rPr>
                <w:rFonts w:ascii="Cambria" w:hAnsi="Cambria"/>
              </w:rP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Director of Social Responsibility</w:t>
            </w:r>
          </w:p>
          <w:p w:rsidR="008A7D39" w:rsidRDefault="008A7D39" w:rsidP="00A86FBB">
            <w:pPr>
              <w:spacing w:before="0"/>
            </w:pPr>
          </w:p>
          <w:p w:rsidR="008A7D39" w:rsidRDefault="008A7D39" w:rsidP="00A86FBB">
            <w:pPr>
              <w:spacing w:before="0"/>
            </w:pPr>
            <w:r>
              <w:t>Chair EDI Committee</w:t>
            </w:r>
          </w:p>
          <w:p w:rsidR="008A7D39" w:rsidRDefault="008A7D39" w:rsidP="00A86FBB">
            <w:pPr>
              <w:spacing w:before="0"/>
            </w:pPr>
          </w:p>
          <w:p w:rsidR="008A7D39" w:rsidRDefault="008A7D39" w:rsidP="00A86FBB">
            <w:pPr>
              <w:spacing w:before="0"/>
            </w:pPr>
            <w:r>
              <w:t>Chair of School Board</w:t>
            </w:r>
          </w:p>
          <w:p w:rsidR="008A7D39" w:rsidRDefault="008A7D39" w:rsidP="00A86FBB">
            <w:pPr>
              <w:spacing w:before="0"/>
            </w:pP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 xml:space="preserve">Feedback from School Board taken up by EDI Committee. </w:t>
            </w:r>
          </w:p>
          <w:p w:rsidR="008A7D39" w:rsidRDefault="008A7D39" w:rsidP="00A86FBB">
            <w:pPr>
              <w:spacing w:before="0"/>
            </w:pPr>
          </w:p>
          <w:p w:rsidR="008A7D39" w:rsidRDefault="008A7D39" w:rsidP="00A86FBB">
            <w:pPr>
              <w:spacing w:before="0"/>
            </w:pPr>
          </w:p>
        </w:tc>
      </w:tr>
      <w:tr w:rsidR="008A7D39" w:rsidRPr="00A1336E"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D4503E" w:rsidRDefault="008A7D39" w:rsidP="00A86FBB">
            <w:pPr>
              <w:spacing w:before="0"/>
            </w:pPr>
            <w:r>
              <w:t>3.5</w:t>
            </w:r>
          </w:p>
          <w:p w:rsidR="008A7D39" w:rsidRDefault="008A7D39" w:rsidP="00A86FBB">
            <w:pPr>
              <w:spacing w:before="0" w:line="240" w:lineRule="auto"/>
            </w:pP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Ensure communication between EDI Committee and School Leadership Team.</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Need to ensure that recommendations from EDI Committee are implemented at School level.</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Minutes of School Leadership team documenting decisions and actions.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ascii="Cambria" w:hAnsi="Cambria"/>
              </w:rPr>
            </w:pPr>
            <w:r>
              <w:rPr>
                <w:rFonts w:ascii="Cambria" w:hAnsi="Cambria"/>
              </w:rP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Head of School</w:t>
            </w:r>
          </w:p>
          <w:p w:rsidR="008A7D39" w:rsidRDefault="008A7D39" w:rsidP="00A86FBB">
            <w:pPr>
              <w:spacing w:before="0"/>
            </w:pPr>
          </w:p>
          <w:p w:rsidR="008A7D39" w:rsidRDefault="008A7D39" w:rsidP="00A86FBB">
            <w:pPr>
              <w:spacing w:before="0"/>
            </w:pPr>
            <w:r>
              <w:t>Director of Social Responsibility</w:t>
            </w:r>
          </w:p>
          <w:p w:rsidR="008A7D39" w:rsidRDefault="008A7D39" w:rsidP="00A86FBB">
            <w:pPr>
              <w:spacing w:before="0"/>
            </w:pP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 xml:space="preserve">Recommendations by EDI incorporated into School Policy. </w:t>
            </w:r>
          </w:p>
          <w:p w:rsidR="008A7D39" w:rsidRDefault="008A7D39" w:rsidP="00A86FBB">
            <w:pPr>
              <w:spacing w:before="0"/>
            </w:pPr>
          </w:p>
          <w:p w:rsidR="008A7D39" w:rsidRDefault="008A7D39" w:rsidP="00A86FBB">
            <w:pPr>
              <w:spacing w:before="0"/>
            </w:pPr>
          </w:p>
        </w:tc>
      </w:tr>
      <w:tr w:rsidR="008A7D39" w:rsidRPr="00A1336E"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D4503E" w:rsidRDefault="008A7D39" w:rsidP="00A86FBB">
            <w:pPr>
              <w:spacing w:before="0"/>
            </w:pPr>
            <w:r>
              <w:t>3.6</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774571">
              <w:t>Monit</w:t>
            </w:r>
            <w:r>
              <w:t>oring of the Bronze action plan.</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 xml:space="preserve">Need to ensure that actions from Bronze action plan are regularly monitored to ensure implementation and progress in achieving desired outcomes. </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Identifying which of the Bronze actions are completed or in progress with timelines through the minutes of EDI and SAT Committees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ascii="Cambria" w:hAnsi="Cambria"/>
              </w:rPr>
            </w:pPr>
            <w: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Chair of EDI</w:t>
            </w:r>
          </w:p>
          <w:p w:rsidR="008A7D39" w:rsidRDefault="008A7D39" w:rsidP="00A86FBB">
            <w:pPr>
              <w:spacing w:before="0"/>
            </w:pPr>
          </w:p>
          <w:p w:rsidR="008A7D39" w:rsidRDefault="008A7D39" w:rsidP="00A86FBB">
            <w:pPr>
              <w:spacing w:before="0"/>
            </w:pPr>
            <w:r>
              <w:t>Chair of SAT</w:t>
            </w:r>
          </w:p>
          <w:p w:rsidR="008A7D39" w:rsidRDefault="008A7D39" w:rsidP="00A86FBB">
            <w:pPr>
              <w:spacing w:before="0"/>
            </w:pPr>
          </w:p>
          <w:p w:rsidR="008A7D39" w:rsidRDefault="008A7D39" w:rsidP="00A86FBB">
            <w:pPr>
              <w:spacing w:before="0"/>
            </w:pPr>
            <w:r>
              <w:t>Director of Social Responsibility</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 xml:space="preserve">Completion of all items in the action plan with concomitant changes in policy, behaviour, attitude evidence by updated School website, policies and annual staff surveys. </w:t>
            </w:r>
          </w:p>
          <w:p w:rsidR="008A7D39" w:rsidRDefault="008A7D39" w:rsidP="00A86FBB">
            <w:pPr>
              <w:spacing w:before="0"/>
            </w:pPr>
          </w:p>
        </w:tc>
      </w:tr>
      <w:tr w:rsidR="008A7D39" w:rsidRPr="00A1336E" w:rsidTr="00A86FBB">
        <w:trPr>
          <w:trHeight w:val="787"/>
          <w:tblHeader/>
        </w:trPr>
        <w:tc>
          <w:tcPr>
            <w:tcW w:w="921" w:type="dxa"/>
            <w:tcBorders>
              <w:top w:val="single" w:sz="4" w:space="0" w:color="auto"/>
              <w:left w:val="single" w:sz="4" w:space="0" w:color="auto"/>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Action number</w:t>
            </w:r>
          </w:p>
        </w:tc>
        <w:tc>
          <w:tcPr>
            <w:tcW w:w="2450"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Planned action</w:t>
            </w:r>
          </w:p>
        </w:tc>
        <w:tc>
          <w:tcPr>
            <w:tcW w:w="258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Rationale</w:t>
            </w:r>
          </w:p>
        </w:tc>
        <w:tc>
          <w:tcPr>
            <w:tcW w:w="393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Key outputs and milestones</w:t>
            </w:r>
          </w:p>
        </w:tc>
        <w:tc>
          <w:tcPr>
            <w:tcW w:w="1236"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Timeframe</w:t>
            </w:r>
          </w:p>
        </w:tc>
        <w:tc>
          <w:tcPr>
            <w:tcW w:w="1634" w:type="dxa"/>
            <w:gridSpan w:val="2"/>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Role holder(s) responsible</w:t>
            </w:r>
          </w:p>
        </w:tc>
        <w:tc>
          <w:tcPr>
            <w:tcW w:w="2179"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Success criteria and outcome</w:t>
            </w:r>
          </w:p>
        </w:tc>
      </w:tr>
      <w:tr w:rsidR="008A7D39" w:rsidRPr="00A1336E" w:rsidTr="00A86FBB">
        <w:trPr>
          <w:trHeight w:val="414"/>
        </w:trPr>
        <w:tc>
          <w:tcPr>
            <w:tcW w:w="14944" w:type="dxa"/>
            <w:gridSpan w:val="8"/>
            <w:tcBorders>
              <w:top w:val="single" w:sz="4" w:space="0" w:color="auto"/>
              <w:left w:val="single" w:sz="4" w:space="0" w:color="auto"/>
              <w:bottom w:val="single" w:sz="4" w:space="0" w:color="auto"/>
              <w:right w:val="single" w:sz="4" w:space="0" w:color="auto"/>
            </w:tcBorders>
            <w:shd w:val="clear" w:color="auto" w:fill="D9EDFF"/>
          </w:tcPr>
          <w:p w:rsidR="008A7D39" w:rsidRPr="00A1336E" w:rsidRDefault="008A7D39" w:rsidP="00A86FBB">
            <w:pPr>
              <w:spacing w:before="0" w:line="240" w:lineRule="auto"/>
              <w:rPr>
                <w:rFonts w:eastAsia="Times New Roman"/>
                <w:b/>
                <w:bCs/>
                <w:color w:val="000000"/>
                <w:lang w:eastAsia="en-GB"/>
              </w:rPr>
            </w:pPr>
            <w:r>
              <w:rPr>
                <w:rFonts w:eastAsia="Times New Roman"/>
                <w:b/>
                <w:bCs/>
                <w:color w:val="000000"/>
                <w:lang w:eastAsia="en-GB"/>
              </w:rPr>
              <w:lastRenderedPageBreak/>
              <w:t>4.1</w:t>
            </w:r>
            <w:r w:rsidRPr="00A1336E">
              <w:rPr>
                <w:rFonts w:eastAsia="Times New Roman"/>
                <w:b/>
                <w:bCs/>
                <w:color w:val="000000"/>
                <w:lang w:eastAsia="en-GB"/>
              </w:rPr>
              <w:t xml:space="preserve">: </w:t>
            </w:r>
            <w:r>
              <w:t xml:space="preserve"> </w:t>
            </w:r>
            <w:r w:rsidRPr="00A1336E">
              <w:rPr>
                <w:b/>
              </w:rPr>
              <w:t>Supporting and advancing careers</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4.1.1</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F567CC">
              <w:t>School to monitor and record gender composition of selection and interview panels for academic appointments.</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Need to ensure a process to monitor and review the gender composition of panels, in order to ensure they reflect the candidates as far as gender</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School office able to report annually or as required on the gender diversity of selection and interview panels in respect of academic appointments</w:t>
            </w:r>
          </w:p>
          <w:p w:rsidR="008A7D39" w:rsidRDefault="008A7D39" w:rsidP="00A86FBB">
            <w:pPr>
              <w:spacing w:before="0" w:line="240" w:lineRule="auto"/>
            </w:pPr>
          </w:p>
          <w:p w:rsidR="008A7D39" w:rsidRDefault="008A7D39" w:rsidP="00A86FBB">
            <w:pPr>
              <w:spacing w:before="0" w:line="240" w:lineRule="auto"/>
            </w:pPr>
            <w:r>
              <w:t>In future extend the recording and monitoring to research and PSS positions</w:t>
            </w:r>
          </w:p>
          <w:p w:rsidR="008A7D39" w:rsidRDefault="008A7D39" w:rsidP="00A86FBB">
            <w:pPr>
              <w:spacing w:before="0" w:line="240" w:lineRule="auto"/>
            </w:pP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Immediately</w:t>
            </w:r>
          </w:p>
          <w:p w:rsidR="008A7D39" w:rsidRDefault="008A7D39" w:rsidP="00A86FBB">
            <w:pPr>
              <w:spacing w:before="0" w:line="240" w:lineRule="auto"/>
            </w:pPr>
          </w:p>
          <w:p w:rsidR="008A7D39" w:rsidRDefault="008A7D39" w:rsidP="00A86FBB">
            <w:pPr>
              <w:spacing w:before="0" w:line="240" w:lineRule="auto"/>
            </w:pPr>
            <w: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proofErr w:type="spellStart"/>
            <w:r>
              <w:t>HoSA</w:t>
            </w:r>
            <w:proofErr w:type="spellEnd"/>
          </w:p>
          <w:p w:rsidR="008A7D39" w:rsidRDefault="008A7D39" w:rsidP="00A86FBB">
            <w:pPr>
              <w:spacing w:before="0"/>
            </w:pPr>
          </w:p>
          <w:p w:rsidR="008A7D39" w:rsidRDefault="008A7D39" w:rsidP="00A86FBB">
            <w:pPr>
              <w:spacing w:before="0"/>
            </w:pPr>
            <w:r>
              <w:t>School Office Manager</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Production of report on composition of panels and deletion of records on a rolling 12 months post-appointment</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4.1.2</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To have 80% compliancy for Unconscious Bias training, encouraging academic and academic related staff participating on interview panels to complete this training.</w:t>
            </w:r>
          </w:p>
          <w:p w:rsidR="008A7D39" w:rsidRDefault="008A7D39" w:rsidP="00A86FBB">
            <w:pPr>
              <w:spacing w:before="0"/>
            </w:pP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 xml:space="preserve">Ensure all staff </w:t>
            </w:r>
            <w:proofErr w:type="gramStart"/>
            <w:r>
              <w:t>know</w:t>
            </w:r>
            <w:proofErr w:type="gramEnd"/>
            <w:r>
              <w:t xml:space="preserve"> that it is mandatory to complete unconscious bias training and why this is important. Aim is to achieve in depth change in attitude of all staff so that they appreciate and can modulate their unconscious biases regarding gender, race, disability, etc.</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 xml:space="preserve">Database documenting which </w:t>
            </w:r>
            <w:proofErr w:type="gramStart"/>
            <w:r>
              <w:t>staff have</w:t>
            </w:r>
            <w:proofErr w:type="gramEnd"/>
            <w:r>
              <w:t xml:space="preserve"> completed this and date with option to provide reminders as needed with input from Head of School if necessary.</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April 2018- March 2019</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Chair EDI Committee</w:t>
            </w:r>
          </w:p>
          <w:p w:rsidR="008A7D39" w:rsidRDefault="008A7D39" w:rsidP="00A86FBB">
            <w:pPr>
              <w:spacing w:before="0"/>
            </w:pPr>
          </w:p>
          <w:p w:rsidR="008A7D39" w:rsidRDefault="008A7D39" w:rsidP="00A86FBB">
            <w:pPr>
              <w:spacing w:before="0"/>
            </w:pPr>
            <w:r>
              <w:t>Director of Social Responsibility</w:t>
            </w:r>
          </w:p>
          <w:p w:rsidR="008A7D39" w:rsidRDefault="008A7D39" w:rsidP="00A86FBB">
            <w:pPr>
              <w:spacing w:before="0"/>
            </w:pPr>
          </w:p>
          <w:p w:rsidR="008A7D39" w:rsidRDefault="008A7D39" w:rsidP="00A86FBB">
            <w:pPr>
              <w:spacing w:before="0"/>
            </w:pPr>
            <w:r>
              <w:t>Head of School</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&gt;50% staff completed by December 2018</w:t>
            </w:r>
          </w:p>
          <w:p w:rsidR="008A7D39" w:rsidRDefault="008A7D39" w:rsidP="00A86FBB">
            <w:pPr>
              <w:spacing w:before="0"/>
            </w:pPr>
          </w:p>
          <w:p w:rsidR="008A7D39" w:rsidRDefault="008A7D39" w:rsidP="00A86FBB">
            <w:pPr>
              <w:spacing w:before="0"/>
            </w:pPr>
            <w:r>
              <w:t>80% staff completed by April 2019</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D4503E" w:rsidRDefault="008A7D39" w:rsidP="00A86FBB">
            <w:pPr>
              <w:spacing w:before="0"/>
            </w:pPr>
            <w:r>
              <w:t>4.1.3</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DD48A0">
              <w:t>Establish a timetable of regular formal induction sessions for new staff (at least 2 times per year) that signposts staff to Flexible Working policies.</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 xml:space="preserve">Need to ensure that new staff are fully aware of all policies and procedures in the School </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Induction sessions held for new staff two times per year.</w:t>
            </w:r>
          </w:p>
          <w:p w:rsidR="008A7D39" w:rsidRDefault="008A7D39" w:rsidP="00A86FBB">
            <w:pPr>
              <w:spacing w:before="0" w:line="240" w:lineRule="auto"/>
            </w:pPr>
            <w:r>
              <w:t>Circulation of papers to all staff so that they receive copies of policies and procedures.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ascii="Cambria" w:hAnsi="Cambria"/>
              </w:rPr>
            </w:pPr>
            <w: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proofErr w:type="spellStart"/>
            <w:r>
              <w:t>HoSA</w:t>
            </w:r>
            <w:proofErr w:type="spellEnd"/>
          </w:p>
          <w:p w:rsidR="008A7D39" w:rsidRDefault="008A7D39" w:rsidP="00A86FBB">
            <w:pPr>
              <w:spacing w:before="0"/>
            </w:pPr>
          </w:p>
          <w:p w:rsidR="008A7D39" w:rsidRDefault="008A7D39" w:rsidP="00A86FBB">
            <w:pPr>
              <w:spacing w:before="0"/>
            </w:pPr>
            <w:r>
              <w:t>HR Representative</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 xml:space="preserve">Return </w:t>
            </w:r>
            <w:r w:rsidRPr="0031422F">
              <w:t xml:space="preserve">of the Induction checklist </w:t>
            </w:r>
            <w:r>
              <w:t xml:space="preserve">as monitored by </w:t>
            </w:r>
            <w:proofErr w:type="spellStart"/>
            <w:r>
              <w:t>HoSA</w:t>
            </w:r>
            <w:proofErr w:type="spellEnd"/>
          </w:p>
          <w:p w:rsidR="008A7D39" w:rsidRDefault="008A7D39" w:rsidP="00A86FBB">
            <w:pPr>
              <w:spacing w:before="0"/>
            </w:pPr>
            <w:r>
              <w:t>Attendance of all new staff at School inductions</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4.1.4</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Ensure promotion regularly considered in context of PDR</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Staff from some groups may be less likely to apply for promotion than others so it is essential that all staff are mentored and helped to apply for promotion when appropriate</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Report on PDR coverage including documentation that promotion covered in each case.</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Head of School</w:t>
            </w:r>
          </w:p>
          <w:p w:rsidR="008A7D39" w:rsidRDefault="008A7D39" w:rsidP="00A86FBB">
            <w:pPr>
              <w:spacing w:before="0"/>
            </w:pPr>
          </w:p>
          <w:p w:rsidR="008A7D39" w:rsidRDefault="008A7D39" w:rsidP="00A86FBB">
            <w:pPr>
              <w:spacing w:before="0"/>
            </w:pPr>
            <w:r>
              <w:t>Line Managers</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Improve profile of promotions across different groups e.g. more women in senior positions.</w:t>
            </w:r>
          </w:p>
        </w:tc>
      </w:tr>
      <w:tr w:rsidR="008A7D39" w:rsidTr="00A86FBB">
        <w:trPr>
          <w:trHeight w:val="699"/>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rPr>
                <w:rFonts w:cs="Calibri"/>
              </w:rPr>
              <w:t>4.1.5</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rPr>
                <w:rFonts w:cs="Calibri"/>
              </w:rPr>
            </w:pPr>
            <w:r w:rsidRPr="00322EFA">
              <w:rPr>
                <w:rFonts w:cs="Calibri"/>
              </w:rPr>
              <w:t xml:space="preserve">To review and modify the School’s internal promotions procedures to ensure that the all recommendations made support our principles </w:t>
            </w:r>
            <w:r w:rsidRPr="00322EFA">
              <w:rPr>
                <w:rFonts w:cs="Calibri"/>
              </w:rPr>
              <w:lastRenderedPageBreak/>
              <w:t>for promoting equality, diversity and inclusion.</w:t>
            </w:r>
          </w:p>
          <w:p w:rsidR="008A7D39" w:rsidRDefault="008A7D39" w:rsidP="00A86FBB">
            <w:pPr>
              <w:spacing w:before="0" w:line="240" w:lineRule="auto"/>
            </w:pPr>
            <w:r>
              <w:t>a) Review composition of school promotions panel, to ensure adequate (at least proportional to staff composition) representation of women.</w:t>
            </w:r>
          </w:p>
          <w:p w:rsidR="008A7D39" w:rsidRDefault="008A7D39" w:rsidP="00A86FBB">
            <w:pPr>
              <w:spacing w:before="0"/>
            </w:pPr>
            <w:r>
              <w:t>b) Review and revise working practices of the promotions panel, such that it explicitly considers equality, diversity and inclusion issues in its decision making.</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sidRPr="002F6D7B">
              <w:rPr>
                <w:rFonts w:cs="Calibri"/>
              </w:rPr>
              <w:lastRenderedPageBreak/>
              <w:t xml:space="preserve">At present, most positions on the School promotions committee are ex officio (Head of School, Directors of Research and of Teaching and </w:t>
            </w:r>
            <w:r w:rsidRPr="002F6D7B">
              <w:rPr>
                <w:rFonts w:cs="Calibri"/>
              </w:rPr>
              <w:lastRenderedPageBreak/>
              <w:t>Learning, line managers).  This group of people currently has underrepresentation of women, resulting in a similar bias on the committee.  The decision making of the panel is driven by rules set at University level, however there is a danger that local implementation places value on different types of activity (research vs teaching vs wider contribution) which result in bias in the promotions procedure</w:t>
            </w:r>
            <w:r>
              <w:rPr>
                <w:rFonts w:cs="Calibri"/>
              </w:rPr>
              <w:t>.</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lastRenderedPageBreak/>
              <w:t>a) Changed selection procedure for appointment of members of the School promotions panel</w:t>
            </w:r>
          </w:p>
          <w:p w:rsidR="008A7D39" w:rsidRDefault="008A7D39" w:rsidP="00A86FBB">
            <w:pPr>
              <w:spacing w:before="0" w:line="240" w:lineRule="auto"/>
            </w:pPr>
            <w:r>
              <w:t>b) Changed working practices of the School promotions panel.</w:t>
            </w:r>
          </w:p>
          <w:p w:rsidR="008A7D39" w:rsidRDefault="008A7D39" w:rsidP="00A86FBB">
            <w:pPr>
              <w:spacing w:before="0" w:line="240" w:lineRule="auto"/>
            </w:pP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lastRenderedPageBreak/>
              <w:t>a) Jan 2019, for next promotions round</w:t>
            </w:r>
          </w:p>
          <w:p w:rsidR="008A7D39" w:rsidRDefault="008A7D39" w:rsidP="00A86FBB">
            <w:pPr>
              <w:spacing w:before="0" w:line="240" w:lineRule="auto"/>
            </w:pPr>
            <w:r>
              <w:t xml:space="preserve">b) Jan 2019, </w:t>
            </w:r>
            <w:r>
              <w:lastRenderedPageBreak/>
              <w:t>for next promotions round</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2F6D7B">
              <w:lastRenderedPageBreak/>
              <w:t xml:space="preserve">Head of School; Members of School Leadership Team; Chair and members of the </w:t>
            </w:r>
            <w:r w:rsidRPr="002F6D7B">
              <w:lastRenderedPageBreak/>
              <w:t>Equality Diversity and Inclusion committee; Director of Social Responsibility</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lastRenderedPageBreak/>
              <w:t>Better promotion success for women and minority staff, reviewed through annual promotion statistics</w:t>
            </w:r>
          </w:p>
          <w:p w:rsidR="008A7D39" w:rsidRDefault="008A7D39" w:rsidP="00A86FBB">
            <w:pPr>
              <w:spacing w:before="0"/>
            </w:pPr>
            <w:r>
              <w:lastRenderedPageBreak/>
              <w:t>Broader range of career profiles amongst staff put forward to Faculty for promotion.</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rPr>
                <w:rFonts w:cs="Calibri"/>
              </w:rPr>
              <w:lastRenderedPageBreak/>
              <w:t>4.1.6</w:t>
            </w:r>
          </w:p>
        </w:tc>
        <w:tc>
          <w:tcPr>
            <w:tcW w:w="2450" w:type="dxa"/>
            <w:tcBorders>
              <w:top w:val="single" w:sz="4" w:space="0" w:color="auto"/>
              <w:left w:val="nil"/>
              <w:bottom w:val="single" w:sz="4" w:space="0" w:color="auto"/>
              <w:right w:val="single" w:sz="4" w:space="0" w:color="auto"/>
            </w:tcBorders>
            <w:shd w:val="clear" w:color="auto" w:fill="auto"/>
          </w:tcPr>
          <w:p w:rsidR="008A7D39" w:rsidRPr="002F6D7B" w:rsidRDefault="008A7D39" w:rsidP="00A86FBB">
            <w:pPr>
              <w:spacing w:before="0"/>
              <w:rPr>
                <w:rFonts w:cs="Calibri"/>
              </w:rPr>
            </w:pPr>
            <w:r w:rsidRPr="00322EFA">
              <w:rPr>
                <w:rFonts w:cs="Calibri"/>
              </w:rPr>
              <w:t>The Head of School to review the number of applications from female staff (and staff that haven’t been actively promoted in several years) to make sure they are being coached to apply.</w:t>
            </w:r>
            <w:r>
              <w:rPr>
                <w:rFonts w:cs="Calibri"/>
              </w:rPr>
              <w:br/>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sidRPr="00E62CFE">
              <w:t>Ensure that female staff are being encouraged to apply for promotion and are being mentored effectively</w:t>
            </w:r>
            <w:r>
              <w:t>.</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sidRPr="00E62CFE">
              <w:t>Collection and analysis of data from 2018 application round – both applications and successes.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sidRPr="00107BB0">
              <w:t>Annual</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107BB0">
              <w:t>Head of School and HR Lead</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E62CFE">
              <w:t>Ensure that female staff are being encouraged to apply for promotion and are being mentored effectively</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rPr>
                <w:rFonts w:cs="Calibri"/>
              </w:rPr>
            </w:pPr>
            <w:r>
              <w:rPr>
                <w:rFonts w:cs="Calibri"/>
              </w:rPr>
              <w:t>4.1.7</w:t>
            </w:r>
          </w:p>
        </w:tc>
        <w:tc>
          <w:tcPr>
            <w:tcW w:w="2450" w:type="dxa"/>
            <w:tcBorders>
              <w:top w:val="single" w:sz="4" w:space="0" w:color="auto"/>
              <w:left w:val="nil"/>
              <w:bottom w:val="single" w:sz="4" w:space="0" w:color="auto"/>
              <w:right w:val="single" w:sz="4" w:space="0" w:color="auto"/>
            </w:tcBorders>
            <w:shd w:val="clear" w:color="auto" w:fill="auto"/>
          </w:tcPr>
          <w:p w:rsidR="008A7D39" w:rsidRPr="00322EFA" w:rsidRDefault="008A7D39" w:rsidP="00A86FBB">
            <w:pPr>
              <w:spacing w:before="0"/>
              <w:rPr>
                <w:rFonts w:cs="Calibri"/>
              </w:rPr>
            </w:pPr>
            <w:r w:rsidRPr="006E3FF6">
              <w:t>Review of new RRE evaluation and integrated REF training processes</w:t>
            </w:r>
            <w:r>
              <w:t>.</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Feedback on the impact of new process on staff will be beneficial in refinement of the process for subsequent years.</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Survey and feedback activity at each research away day leading to refinement of process for subsequent year.</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Annual revision</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Output champion and Director of Research</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More reliable RRE grades with more fairly distributed effort and staff buy-in</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rPr>
                <w:rFonts w:cs="Calibri"/>
              </w:rPr>
            </w:pPr>
            <w:r>
              <w:rPr>
                <w:rFonts w:cs="Calibri"/>
              </w:rPr>
              <w:t>4.1.8</w:t>
            </w:r>
          </w:p>
        </w:tc>
        <w:tc>
          <w:tcPr>
            <w:tcW w:w="2450" w:type="dxa"/>
            <w:tcBorders>
              <w:top w:val="single" w:sz="4" w:space="0" w:color="auto"/>
              <w:left w:val="nil"/>
              <w:bottom w:val="single" w:sz="4" w:space="0" w:color="auto"/>
              <w:right w:val="single" w:sz="4" w:space="0" w:color="auto"/>
            </w:tcBorders>
            <w:shd w:val="clear" w:color="auto" w:fill="auto"/>
          </w:tcPr>
          <w:p w:rsidR="008A7D39" w:rsidRPr="006E3FF6" w:rsidRDefault="008A7D39" w:rsidP="00A86FBB">
            <w:pPr>
              <w:spacing w:before="0"/>
            </w:pPr>
            <w:r>
              <w:t xml:space="preserve">Inform PDRA Staff of RRE Scores for their co-authored publications.  </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 xml:space="preserve">PDRA </w:t>
            </w:r>
            <w:proofErr w:type="gramStart"/>
            <w:r>
              <w:t>staff are</w:t>
            </w:r>
            <w:proofErr w:type="gramEnd"/>
            <w:r>
              <w:t xml:space="preserve"> not currently informed as part of the RRE process. It will provide a valuable indicator for their skills training and ultimately career progression.</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Provision of data to PDRAs from this year onwards.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This RRE cycle (between June 2018 and Jan 2019)</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Director of Research</w:t>
            </w:r>
          </w:p>
          <w:p w:rsidR="008A7D39" w:rsidRDefault="008A7D39" w:rsidP="00A86FBB">
            <w:pPr>
              <w:spacing w:before="0"/>
            </w:pPr>
          </w:p>
          <w:p w:rsidR="008A7D39" w:rsidRDefault="008A7D39" w:rsidP="00A86FBB">
            <w:pPr>
              <w:spacing w:before="0"/>
            </w:pPr>
            <w:r>
              <w:t xml:space="preserve">Research Support Manager </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 xml:space="preserve">Availability of RRE score data to all PDRAs </w:t>
            </w:r>
          </w:p>
        </w:tc>
      </w:tr>
      <w:tr w:rsidR="008A7D39" w:rsidTr="00A86FBB">
        <w:trPr>
          <w:trHeight w:val="699"/>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rPr>
                <w:rFonts w:cs="Calibri"/>
              </w:rPr>
            </w:pPr>
            <w:r>
              <w:rPr>
                <w:rFonts w:cs="Calibri"/>
              </w:rPr>
              <w:t>4.1.9</w:t>
            </w:r>
          </w:p>
        </w:tc>
        <w:tc>
          <w:tcPr>
            <w:tcW w:w="2450" w:type="dxa"/>
            <w:tcBorders>
              <w:top w:val="single" w:sz="4" w:space="0" w:color="auto"/>
              <w:left w:val="nil"/>
              <w:bottom w:val="single" w:sz="4" w:space="0" w:color="auto"/>
              <w:right w:val="single" w:sz="4" w:space="0" w:color="auto"/>
            </w:tcBorders>
            <w:shd w:val="clear" w:color="auto" w:fill="auto"/>
          </w:tcPr>
          <w:p w:rsidR="008A7D39" w:rsidRPr="00557C20" w:rsidRDefault="008A7D39" w:rsidP="00A86FBB">
            <w:pPr>
              <w:spacing w:before="0"/>
            </w:pPr>
            <w:r>
              <w:t>Provide 4* Paper-writing training.</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 xml:space="preserve">PDRA </w:t>
            </w:r>
            <w:proofErr w:type="gramStart"/>
            <w:r>
              <w:t>staff are</w:t>
            </w:r>
            <w:proofErr w:type="gramEnd"/>
            <w:r>
              <w:t xml:space="preserve"> not routinely provided with paper training. Such training will directly </w:t>
            </w:r>
            <w:r>
              <w:lastRenderedPageBreak/>
              <w:t>benefit PDRAs in their skill attainment and career progression, but also the School in their output generation.</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lastRenderedPageBreak/>
              <w:t xml:space="preserve">Through initial involvement in Research Away Day 2018, PDRAs will get the same exposure to paper evaluation training and live consultation </w:t>
            </w:r>
            <w:r>
              <w:lastRenderedPageBreak/>
              <w:t>on "skills audit" to assess the training requirement. This will be flagged with line managers for discussion in PDRs and requirement will be subsequently followed up with appropriate training.</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lastRenderedPageBreak/>
              <w:t>  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Director of Research</w:t>
            </w:r>
          </w:p>
          <w:p w:rsidR="008A7D39" w:rsidRDefault="008A7D39" w:rsidP="00A86FBB">
            <w:pPr>
              <w:spacing w:before="0"/>
            </w:pPr>
            <w:r>
              <w:t xml:space="preserve">Line managers </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Training provided to PDRAs</w:t>
            </w:r>
          </w:p>
        </w:tc>
      </w:tr>
      <w:tr w:rsidR="008A7D39" w:rsidRPr="00A1336E" w:rsidTr="00A86FBB">
        <w:trPr>
          <w:trHeight w:val="787"/>
          <w:tblHeader/>
        </w:trPr>
        <w:tc>
          <w:tcPr>
            <w:tcW w:w="921" w:type="dxa"/>
            <w:tcBorders>
              <w:top w:val="single" w:sz="4" w:space="0" w:color="auto"/>
              <w:left w:val="single" w:sz="4" w:space="0" w:color="auto"/>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lastRenderedPageBreak/>
              <w:t>Action number</w:t>
            </w:r>
          </w:p>
        </w:tc>
        <w:tc>
          <w:tcPr>
            <w:tcW w:w="2450"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Planned action</w:t>
            </w:r>
          </w:p>
        </w:tc>
        <w:tc>
          <w:tcPr>
            <w:tcW w:w="258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Rationale</w:t>
            </w:r>
          </w:p>
        </w:tc>
        <w:tc>
          <w:tcPr>
            <w:tcW w:w="393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Key outputs and milestones</w:t>
            </w:r>
          </w:p>
        </w:tc>
        <w:tc>
          <w:tcPr>
            <w:tcW w:w="1236"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Timeframe</w:t>
            </w:r>
          </w:p>
        </w:tc>
        <w:tc>
          <w:tcPr>
            <w:tcW w:w="1634" w:type="dxa"/>
            <w:gridSpan w:val="2"/>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Role holder(s) responsible</w:t>
            </w:r>
          </w:p>
        </w:tc>
        <w:tc>
          <w:tcPr>
            <w:tcW w:w="2179"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Success criteria and outcome</w:t>
            </w:r>
          </w:p>
        </w:tc>
      </w:tr>
      <w:tr w:rsidR="008A7D39" w:rsidRPr="00A1336E" w:rsidTr="00A86FBB">
        <w:trPr>
          <w:trHeight w:val="414"/>
        </w:trPr>
        <w:tc>
          <w:tcPr>
            <w:tcW w:w="14944" w:type="dxa"/>
            <w:gridSpan w:val="8"/>
            <w:tcBorders>
              <w:top w:val="single" w:sz="4" w:space="0" w:color="auto"/>
              <w:left w:val="single" w:sz="4" w:space="0" w:color="auto"/>
              <w:bottom w:val="single" w:sz="4" w:space="0" w:color="auto"/>
              <w:right w:val="single" w:sz="4" w:space="0" w:color="auto"/>
            </w:tcBorders>
            <w:shd w:val="clear" w:color="auto" w:fill="D9EDFF"/>
          </w:tcPr>
          <w:p w:rsidR="008A7D39" w:rsidRPr="00A1336E" w:rsidRDefault="008A7D39" w:rsidP="00A86FBB">
            <w:pPr>
              <w:spacing w:before="0" w:line="240" w:lineRule="auto"/>
              <w:rPr>
                <w:rFonts w:eastAsia="Times New Roman"/>
                <w:b/>
                <w:bCs/>
                <w:color w:val="000000"/>
                <w:lang w:eastAsia="en-GB"/>
              </w:rPr>
            </w:pPr>
            <w:r>
              <w:rPr>
                <w:rFonts w:eastAsia="Times New Roman"/>
                <w:b/>
                <w:bCs/>
                <w:color w:val="000000"/>
                <w:lang w:eastAsia="en-GB"/>
              </w:rPr>
              <w:t xml:space="preserve">4.3 </w:t>
            </w:r>
            <w:r w:rsidRPr="005622DC">
              <w:rPr>
                <w:rFonts w:eastAsia="Times New Roman"/>
                <w:b/>
                <w:bCs/>
                <w:color w:val="000000"/>
                <w:lang w:eastAsia="en-GB"/>
              </w:rPr>
              <w:t>Career development: academic staff</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4.3.1</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D</w:t>
            </w:r>
            <w:r w:rsidRPr="00480EE4">
              <w:t>evelop a strategy for improving staff training for career development</w:t>
            </w:r>
            <w:r>
              <w:t>.</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 xml:space="preserve">The University of Manchester provides a wide range of professional development courses centrally.  Training for specific things is also provided locally at faculty or school level.  The annual P&amp;DR’s include prompts to discuss </w:t>
            </w:r>
            <w:proofErr w:type="gramStart"/>
            <w:r>
              <w:t>training,</w:t>
            </w:r>
            <w:proofErr w:type="gramEnd"/>
            <w:r>
              <w:t xml:space="preserve"> however there is no formal mechanism for highlighting what is available, reviewing what training is appropriate or systematically recording what training has been undertaken.</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sidRPr="003D592F">
              <w:rPr>
                <w:i/>
              </w:rPr>
              <w:t>Skills audit designed for use in the preparation and execution of P&amp;DRs</w:t>
            </w:r>
            <w:r>
              <w:t>- based on similar audits already used for UG and PG students.  This will be designed to guide staff at all levels in their careers (PDRA to Professor) in identifying available training that will be timely and beneficial to their career development.</w:t>
            </w:r>
          </w:p>
          <w:p w:rsidR="008A7D39" w:rsidRDefault="008A7D39" w:rsidP="00A86FBB">
            <w:pPr>
              <w:spacing w:before="0" w:line="240" w:lineRule="auto"/>
            </w:pPr>
          </w:p>
          <w:p w:rsidR="008A7D39" w:rsidRDefault="008A7D39" w:rsidP="00A86FBB">
            <w:pPr>
              <w:spacing w:before="0" w:line="240" w:lineRule="auto"/>
            </w:pPr>
            <w:r>
              <w:t>Implementation of skills audit, integrated in P&amp;DR process</w:t>
            </w:r>
          </w:p>
          <w:p w:rsidR="008A7D39" w:rsidRDefault="008A7D39" w:rsidP="00A86FBB">
            <w:pPr>
              <w:spacing w:before="0" w:line="240" w:lineRule="auto"/>
            </w:pPr>
          </w:p>
          <w:p w:rsidR="008A7D39" w:rsidRDefault="008A7D39" w:rsidP="00A86FBB">
            <w:pPr>
              <w:spacing w:before="0" w:line="240" w:lineRule="auto"/>
            </w:pPr>
            <w:r>
              <w:t>Development of individual training records included in CVs.</w:t>
            </w:r>
          </w:p>
          <w:p w:rsidR="008A7D39" w:rsidRDefault="008A7D39" w:rsidP="00A86FBB">
            <w:pPr>
              <w:spacing w:before="0" w:line="240" w:lineRule="auto"/>
            </w:pP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Development of skills audit: Sept 2019</w:t>
            </w:r>
          </w:p>
          <w:p w:rsidR="008A7D39" w:rsidRDefault="008A7D39" w:rsidP="00A86FBB">
            <w:pPr>
              <w:spacing w:before="0" w:line="240" w:lineRule="auto"/>
            </w:pPr>
          </w:p>
          <w:p w:rsidR="008A7D39" w:rsidRDefault="008A7D39" w:rsidP="00A86FBB">
            <w:pPr>
              <w:spacing w:before="0" w:line="240" w:lineRule="auto"/>
            </w:pPr>
            <w:r>
              <w:t>Implementation of skills audit: ongoing for future P&amp;DRs</w:t>
            </w:r>
          </w:p>
          <w:p w:rsidR="008A7D39" w:rsidRDefault="008A7D39" w:rsidP="00A86FBB">
            <w:pPr>
              <w:spacing w:before="0" w:line="240" w:lineRule="auto"/>
            </w:pPr>
          </w:p>
          <w:p w:rsidR="008A7D39" w:rsidRDefault="008A7D39" w:rsidP="00A86FBB">
            <w:pPr>
              <w:spacing w:before="0" w:line="240" w:lineRule="auto"/>
            </w:pPr>
            <w:r>
              <w:t>Monitoring of impact – ongoing from 2020 P&amp;DR</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Head of School</w:t>
            </w:r>
          </w:p>
          <w:p w:rsidR="008A7D39" w:rsidRDefault="008A7D39" w:rsidP="00A86FBB">
            <w:pPr>
              <w:spacing w:before="0"/>
            </w:pPr>
            <w:r>
              <w:t>Research group leaders</w:t>
            </w:r>
          </w:p>
          <w:p w:rsidR="008A7D39" w:rsidRDefault="008A7D39" w:rsidP="00A86FBB">
            <w:pPr>
              <w:spacing w:before="0"/>
            </w:pPr>
          </w:p>
          <w:p w:rsidR="008A7D39" w:rsidRDefault="008A7D39" w:rsidP="00A86FBB">
            <w:pPr>
              <w:spacing w:before="0"/>
            </w:pPr>
            <w:r>
              <w:t>HR partner</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Increased number of training courses taken by staff</w:t>
            </w:r>
          </w:p>
          <w:p w:rsidR="008A7D39" w:rsidRDefault="008A7D39" w:rsidP="00A86FBB">
            <w:pPr>
              <w:spacing w:before="0"/>
            </w:pPr>
          </w:p>
          <w:p w:rsidR="008A7D39" w:rsidRDefault="008A7D39" w:rsidP="00A86FBB">
            <w:pPr>
              <w:spacing w:before="0"/>
            </w:pPr>
            <w:r>
              <w:t>Participant feedback collected from locally run training courses used in rolling review of process</w:t>
            </w:r>
          </w:p>
          <w:p w:rsidR="008A7D39" w:rsidRDefault="008A7D39" w:rsidP="00A86FBB">
            <w:pPr>
              <w:spacing w:before="0"/>
            </w:pPr>
          </w:p>
          <w:p w:rsidR="008A7D39" w:rsidRDefault="008A7D39" w:rsidP="00A86FBB">
            <w:pPr>
              <w:spacing w:before="0"/>
            </w:pPr>
            <w:r>
              <w:t>Feedback from staff collated from responses to staff surveys and Athena Swan surveys.</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4.3.2</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6E3FF6">
              <w:t>Review of P</w:t>
            </w:r>
            <w:r>
              <w:t>&amp;</w:t>
            </w:r>
            <w:r w:rsidRPr="006E3FF6">
              <w:t>DR data collection</w:t>
            </w:r>
            <w:r>
              <w:t xml:space="preserve">, form content </w:t>
            </w:r>
            <w:r w:rsidRPr="006E3FF6">
              <w:t>and response process to variety in approaches to workload balance</w:t>
            </w:r>
            <w:r>
              <w:t>.</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Optimised data collection and archival will improve internal return and availability. More importantly, reflecting the diverse methods of load balancing in the form terminology will improve the process.</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Revised form will elicit more balanced P&amp;DR meetings and subsequent response.</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Head of School / Head of School Administrator</w:t>
            </w:r>
          </w:p>
          <w:p w:rsidR="008A7D39" w:rsidRDefault="008A7D39" w:rsidP="00A86FBB">
            <w:pPr>
              <w:spacing w:before="0"/>
            </w:pPr>
          </w:p>
          <w:p w:rsidR="008A7D39" w:rsidRDefault="008A7D39" w:rsidP="00A86FBB">
            <w:pPr>
              <w:spacing w:before="0"/>
            </w:pPr>
            <w:r>
              <w:t>Line managers</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More effective career development process, to be measured by respondent feedback</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lastRenderedPageBreak/>
              <w:t>4.3.3</w:t>
            </w:r>
          </w:p>
          <w:p w:rsidR="008A7D39" w:rsidRDefault="008A7D39" w:rsidP="00A86FBB">
            <w:pPr>
              <w:spacing w:before="0"/>
            </w:pPr>
          </w:p>
        </w:tc>
        <w:tc>
          <w:tcPr>
            <w:tcW w:w="2450" w:type="dxa"/>
            <w:tcBorders>
              <w:top w:val="single" w:sz="4" w:space="0" w:color="auto"/>
              <w:left w:val="nil"/>
              <w:bottom w:val="single" w:sz="4" w:space="0" w:color="auto"/>
              <w:right w:val="single" w:sz="4" w:space="0" w:color="auto"/>
            </w:tcBorders>
            <w:shd w:val="clear" w:color="auto" w:fill="auto"/>
          </w:tcPr>
          <w:p w:rsidR="008A7D39" w:rsidRPr="006E3FF6" w:rsidRDefault="008A7D39" w:rsidP="00A86FBB">
            <w:pPr>
              <w:spacing w:before="0"/>
            </w:pPr>
            <w:r w:rsidRPr="00DA2E9A">
              <w:rPr>
                <w:iCs/>
              </w:rPr>
              <w:t>Review line management structure to improve support for career progression and load management and to provide new opportunities for staff to progress their careers</w:t>
            </w:r>
            <w:r>
              <w:rPr>
                <w:iCs/>
              </w:rPr>
              <w:t>.</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Line managers are currently selected from amongst leading researchers.  Line managers are not formally involved in managing of teaching or other activities.  This can result in poor recognition of non-research based activities and fails to recognise alternative career pathways.</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Review of management structure of the school.</w:t>
            </w:r>
          </w:p>
          <w:p w:rsidR="008A7D39" w:rsidRDefault="008A7D39" w:rsidP="00A86FBB">
            <w:pPr>
              <w:spacing w:before="0" w:line="240" w:lineRule="auto"/>
            </w:pPr>
          </w:p>
          <w:p w:rsidR="008A7D39" w:rsidRDefault="008A7D39" w:rsidP="00A86FBB">
            <w:pPr>
              <w:spacing w:before="0" w:line="240" w:lineRule="auto"/>
            </w:pPr>
          </w:p>
          <w:p w:rsidR="008A7D39" w:rsidRDefault="008A7D39" w:rsidP="00A86FBB">
            <w:pPr>
              <w:spacing w:before="0" w:line="240" w:lineRule="auto"/>
            </w:pPr>
            <w:r>
              <w:t>Implementation of an alternative management structure.</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December 2018</w:t>
            </w:r>
          </w:p>
          <w:p w:rsidR="008A7D39" w:rsidRDefault="008A7D39" w:rsidP="00A86FBB">
            <w:pPr>
              <w:spacing w:before="0" w:line="240" w:lineRule="auto"/>
            </w:pPr>
          </w:p>
          <w:p w:rsidR="008A7D39" w:rsidRDefault="008A7D39" w:rsidP="00A86FBB">
            <w:pPr>
              <w:spacing w:before="0" w:line="240" w:lineRule="auto"/>
            </w:pPr>
            <w:r>
              <w:t>Summer 2019</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Head of School</w:t>
            </w:r>
          </w:p>
          <w:p w:rsidR="008A7D39" w:rsidRDefault="008A7D39" w:rsidP="00A86FBB">
            <w:pPr>
              <w:spacing w:before="0"/>
            </w:pPr>
          </w:p>
          <w:p w:rsidR="008A7D39" w:rsidRDefault="008A7D39" w:rsidP="00A86FBB">
            <w:pPr>
              <w:spacing w:before="0"/>
            </w:pPr>
            <w:r>
              <w:t>Members of SLT</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Satisfaction with the line management structure evidenced by responses to staff survey and Athena Swan survey</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4.3.4</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6E3FF6">
              <w:t>Review of grant application support and ECR research mentoring process</w:t>
            </w:r>
            <w:r>
              <w:t>.</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Optimally enabling grant-writing across staff in each group and providing ECR mentoring will improve opportunity and spread income-generation across SEES.</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Register of mentors / mentees.</w:t>
            </w:r>
          </w:p>
          <w:p w:rsidR="008A7D39" w:rsidRDefault="008A7D39" w:rsidP="00A86FBB">
            <w:pPr>
              <w:spacing w:before="0" w:line="240" w:lineRule="auto"/>
            </w:pPr>
            <w:r>
              <w:t>Recording of profile of grant applications and success rate by stage of career and gender.</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t>Ongoing</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Mentors and Line managers</w:t>
            </w: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Improved balance of successful grant applications</w:t>
            </w:r>
          </w:p>
        </w:tc>
      </w:tr>
      <w:tr w:rsidR="008A7D39" w:rsidRPr="00A1336E" w:rsidTr="00A86FBB">
        <w:trPr>
          <w:trHeight w:val="787"/>
          <w:tblHeader/>
        </w:trPr>
        <w:tc>
          <w:tcPr>
            <w:tcW w:w="921" w:type="dxa"/>
            <w:tcBorders>
              <w:top w:val="single" w:sz="4" w:space="0" w:color="auto"/>
              <w:left w:val="single" w:sz="4" w:space="0" w:color="auto"/>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Action number</w:t>
            </w:r>
          </w:p>
        </w:tc>
        <w:tc>
          <w:tcPr>
            <w:tcW w:w="2450"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Planned action</w:t>
            </w:r>
          </w:p>
        </w:tc>
        <w:tc>
          <w:tcPr>
            <w:tcW w:w="258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Rationale</w:t>
            </w:r>
          </w:p>
        </w:tc>
        <w:tc>
          <w:tcPr>
            <w:tcW w:w="393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Key outputs and milestones</w:t>
            </w:r>
          </w:p>
        </w:tc>
        <w:tc>
          <w:tcPr>
            <w:tcW w:w="1236"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Timeframe</w:t>
            </w:r>
          </w:p>
        </w:tc>
        <w:tc>
          <w:tcPr>
            <w:tcW w:w="1634" w:type="dxa"/>
            <w:gridSpan w:val="2"/>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Role holder(s) responsible</w:t>
            </w:r>
          </w:p>
        </w:tc>
        <w:tc>
          <w:tcPr>
            <w:tcW w:w="2179"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Success criteria and outcome</w:t>
            </w:r>
          </w:p>
        </w:tc>
      </w:tr>
      <w:tr w:rsidR="008A7D39" w:rsidRPr="00A1336E" w:rsidTr="00A86FBB">
        <w:trPr>
          <w:trHeight w:val="414"/>
        </w:trPr>
        <w:tc>
          <w:tcPr>
            <w:tcW w:w="14944" w:type="dxa"/>
            <w:gridSpan w:val="8"/>
            <w:tcBorders>
              <w:top w:val="single" w:sz="4" w:space="0" w:color="auto"/>
              <w:left w:val="single" w:sz="4" w:space="0" w:color="auto"/>
              <w:bottom w:val="single" w:sz="4" w:space="0" w:color="auto"/>
              <w:right w:val="single" w:sz="4" w:space="0" w:color="auto"/>
            </w:tcBorders>
            <w:shd w:val="clear" w:color="auto" w:fill="D9EDFF"/>
          </w:tcPr>
          <w:p w:rsidR="008A7D39" w:rsidRPr="00A1336E" w:rsidRDefault="008A7D39" w:rsidP="00A86FBB">
            <w:pPr>
              <w:spacing w:before="0" w:line="240" w:lineRule="auto"/>
              <w:rPr>
                <w:rFonts w:eastAsia="Times New Roman"/>
                <w:b/>
                <w:bCs/>
                <w:color w:val="000000"/>
                <w:lang w:eastAsia="en-GB"/>
              </w:rPr>
            </w:pPr>
            <w:r>
              <w:rPr>
                <w:rFonts w:eastAsia="Times New Roman"/>
                <w:b/>
                <w:bCs/>
                <w:color w:val="000000"/>
                <w:lang w:eastAsia="en-GB"/>
              </w:rPr>
              <w:t xml:space="preserve">4.5 </w:t>
            </w:r>
            <w:r>
              <w:t xml:space="preserve"> </w:t>
            </w:r>
            <w:r w:rsidRPr="00BB29FE">
              <w:rPr>
                <w:rFonts w:eastAsia="Times New Roman"/>
                <w:b/>
                <w:bCs/>
                <w:color w:val="000000"/>
                <w:lang w:eastAsia="en-GB"/>
              </w:rPr>
              <w:t>Flexible working and managing career breaks</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rsidRPr="00A1336E">
              <w:rPr>
                <w:rFonts w:cs="Calibri"/>
              </w:rPr>
              <w:t>4.5.1</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Add links regarding parental leave and flexible working policies to School intranet homepage to improve visibility.</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sidRPr="00BD66A2">
              <w:rPr>
                <w:rFonts w:eastAsia="Times New Roman"/>
                <w:bCs/>
                <w:color w:val="000000"/>
                <w:lang w:eastAsia="en-GB"/>
              </w:rPr>
              <w:t>Paternity, adoption and parental leave policies</w:t>
            </w:r>
            <w:r>
              <w:rPr>
                <w:rFonts w:eastAsia="Times New Roman"/>
                <w:bCs/>
                <w:color w:val="000000"/>
                <w:lang w:eastAsia="en-GB"/>
              </w:rPr>
              <w:t xml:space="preserve"> and flexible working policies</w:t>
            </w:r>
            <w:r w:rsidRPr="00BD66A2">
              <w:rPr>
                <w:rFonts w:eastAsia="Times New Roman"/>
                <w:bCs/>
                <w:color w:val="000000"/>
                <w:lang w:eastAsia="en-GB"/>
              </w:rPr>
              <w:t xml:space="preserve"> are not always clear and visible to staff, resulting in staff not being aware of what is available.</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8A7D39">
            <w:pPr>
              <w:pStyle w:val="ListParagraph"/>
              <w:numPr>
                <w:ilvl w:val="0"/>
                <w:numId w:val="3"/>
              </w:numPr>
              <w:spacing w:before="0" w:line="240" w:lineRule="auto"/>
              <w:ind w:left="0" w:hanging="284"/>
              <w:rPr>
                <w:rFonts w:eastAsia="Times New Roman"/>
                <w:bCs/>
                <w:color w:val="000000"/>
                <w:lang w:eastAsia="en-GB"/>
              </w:rPr>
            </w:pPr>
            <w:r w:rsidRPr="007831DB">
              <w:rPr>
                <w:rFonts w:eastAsia="Times New Roman"/>
                <w:bCs/>
                <w:color w:val="000000"/>
                <w:lang w:eastAsia="en-GB"/>
              </w:rPr>
              <w:t>Find links to relevant policies</w:t>
            </w:r>
          </w:p>
          <w:p w:rsidR="008A7D39" w:rsidRDefault="008A7D39" w:rsidP="008A7D39">
            <w:pPr>
              <w:pStyle w:val="ListParagraph"/>
              <w:numPr>
                <w:ilvl w:val="0"/>
                <w:numId w:val="3"/>
              </w:numPr>
              <w:spacing w:before="0" w:line="240" w:lineRule="auto"/>
              <w:ind w:left="0" w:hanging="284"/>
              <w:rPr>
                <w:rFonts w:eastAsia="Times New Roman"/>
                <w:bCs/>
                <w:color w:val="000000"/>
                <w:lang w:eastAsia="en-GB"/>
              </w:rPr>
            </w:pPr>
            <w:r w:rsidRPr="007831DB">
              <w:rPr>
                <w:rFonts w:eastAsia="Times New Roman"/>
                <w:bCs/>
                <w:color w:val="000000"/>
                <w:lang w:eastAsia="en-GB"/>
              </w:rPr>
              <w:t>Publish on intranet homepage</w:t>
            </w:r>
          </w:p>
          <w:p w:rsidR="008A7D39" w:rsidRPr="007831DB" w:rsidRDefault="008A7D39" w:rsidP="008A7D39">
            <w:pPr>
              <w:pStyle w:val="ListParagraph"/>
              <w:numPr>
                <w:ilvl w:val="0"/>
                <w:numId w:val="3"/>
              </w:numPr>
              <w:spacing w:before="0" w:line="240" w:lineRule="auto"/>
              <w:ind w:left="0" w:hanging="284"/>
              <w:rPr>
                <w:rFonts w:eastAsia="Times New Roman"/>
                <w:bCs/>
                <w:color w:val="000000"/>
                <w:lang w:eastAsia="en-GB"/>
              </w:rPr>
            </w:pPr>
            <w:r w:rsidRPr="007831DB">
              <w:rPr>
                <w:rFonts w:eastAsia="Times New Roman"/>
                <w:bCs/>
                <w:color w:val="000000"/>
                <w:lang w:eastAsia="en-GB"/>
              </w:rPr>
              <w:t>Inform staff via the School Newsletter and email lists.</w:t>
            </w:r>
          </w:p>
          <w:p w:rsidR="008A7D39" w:rsidRDefault="008A7D39" w:rsidP="00A86FBB">
            <w:pPr>
              <w:spacing w:before="0" w:line="240" w:lineRule="auto"/>
            </w:pP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eastAsia="Times New Roman"/>
                <w:bCs/>
                <w:color w:val="000000"/>
                <w:lang w:eastAsia="en-GB"/>
              </w:rPr>
            </w:pPr>
            <w:r>
              <w:rPr>
                <w:rFonts w:eastAsia="Times New Roman"/>
                <w:bCs/>
                <w:color w:val="000000"/>
                <w:lang w:eastAsia="en-GB"/>
              </w:rPr>
              <w:t>September 2018</w:t>
            </w:r>
          </w:p>
          <w:p w:rsidR="008A7D39" w:rsidRDefault="008A7D39" w:rsidP="00A86FBB">
            <w:pPr>
              <w:spacing w:before="0" w:line="240" w:lineRule="auto"/>
            </w:pP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eastAsia="Times New Roman"/>
                <w:bCs/>
                <w:color w:val="000000"/>
                <w:lang w:eastAsia="en-GB"/>
              </w:rPr>
            </w:pPr>
            <w:r>
              <w:rPr>
                <w:rFonts w:eastAsia="Times New Roman"/>
                <w:bCs/>
                <w:color w:val="000000"/>
                <w:lang w:eastAsia="en-GB"/>
              </w:rPr>
              <w:t>Head of School Administration</w:t>
            </w:r>
          </w:p>
          <w:p w:rsidR="008A7D39" w:rsidRDefault="008A7D39" w:rsidP="00A86FBB">
            <w:pPr>
              <w:spacing w:before="0" w:line="240" w:lineRule="auto"/>
              <w:rPr>
                <w:rFonts w:eastAsia="Times New Roman"/>
                <w:bCs/>
                <w:color w:val="000000"/>
                <w:lang w:eastAsia="en-GB"/>
              </w:rPr>
            </w:pPr>
          </w:p>
          <w:p w:rsidR="008A7D39" w:rsidRDefault="008A7D39" w:rsidP="00A86FBB">
            <w:pPr>
              <w:spacing w:before="0"/>
            </w:pP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eastAsia="Times New Roman"/>
                <w:bCs/>
                <w:color w:val="000000"/>
                <w:lang w:eastAsia="en-GB"/>
              </w:rPr>
            </w:pPr>
            <w:r w:rsidRPr="00BD66A2">
              <w:rPr>
                <w:rFonts w:eastAsia="Times New Roman"/>
                <w:bCs/>
                <w:color w:val="000000"/>
                <w:lang w:eastAsia="en-GB"/>
              </w:rPr>
              <w:t>Clear and easy to obtain guidance for staff</w:t>
            </w:r>
            <w:r>
              <w:rPr>
                <w:rFonts w:eastAsia="Times New Roman"/>
                <w:bCs/>
                <w:color w:val="000000"/>
                <w:lang w:eastAsia="en-GB"/>
              </w:rPr>
              <w:t>,</w:t>
            </w:r>
            <w:r w:rsidRPr="00BD66A2">
              <w:rPr>
                <w:rFonts w:eastAsia="Times New Roman"/>
                <w:bCs/>
                <w:color w:val="000000"/>
                <w:lang w:eastAsia="en-GB"/>
              </w:rPr>
              <w:t xml:space="preserve"> including line managers</w:t>
            </w:r>
            <w:r>
              <w:rPr>
                <w:rFonts w:eastAsia="Times New Roman"/>
                <w:bCs/>
                <w:color w:val="000000"/>
                <w:lang w:eastAsia="en-GB"/>
              </w:rPr>
              <w:t>,</w:t>
            </w:r>
            <w:r w:rsidRPr="00BD66A2">
              <w:rPr>
                <w:rFonts w:eastAsia="Times New Roman"/>
                <w:bCs/>
                <w:color w:val="000000"/>
                <w:lang w:eastAsia="en-GB"/>
              </w:rPr>
              <w:t xml:space="preserve"> on the </w:t>
            </w:r>
            <w:r>
              <w:rPr>
                <w:rFonts w:eastAsia="Times New Roman"/>
                <w:bCs/>
                <w:color w:val="000000"/>
                <w:lang w:eastAsia="en-GB"/>
              </w:rPr>
              <w:t>p</w:t>
            </w:r>
            <w:r w:rsidRPr="00BD66A2">
              <w:rPr>
                <w:rFonts w:eastAsia="Times New Roman"/>
                <w:bCs/>
                <w:color w:val="000000"/>
                <w:lang w:eastAsia="en-GB"/>
              </w:rPr>
              <w:t xml:space="preserve">arental leave and flexible working </w:t>
            </w:r>
            <w:r>
              <w:rPr>
                <w:rFonts w:eastAsia="Times New Roman"/>
                <w:bCs/>
                <w:color w:val="000000"/>
                <w:lang w:eastAsia="en-GB"/>
              </w:rPr>
              <w:t>policies and procedures.</w:t>
            </w:r>
          </w:p>
          <w:p w:rsidR="008A7D39" w:rsidRDefault="008A7D39" w:rsidP="00A86FBB">
            <w:pPr>
              <w:spacing w:before="0"/>
            </w:pPr>
          </w:p>
        </w:tc>
      </w:tr>
      <w:tr w:rsidR="008A7D39" w:rsidTr="00A86FBB">
        <w:trPr>
          <w:trHeight w:val="416"/>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A1336E" w:rsidRDefault="008A7D39" w:rsidP="00A86FBB">
            <w:pPr>
              <w:spacing w:before="0"/>
              <w:rPr>
                <w:rFonts w:cs="Calibri"/>
              </w:rPr>
            </w:pPr>
            <w:r>
              <w:rPr>
                <w:rFonts w:cs="Calibri"/>
              </w:rPr>
              <w:t>4.5.2</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sidRPr="00BD66A2">
              <w:t xml:space="preserve">Create a written document that can be emailed to staff returning from such leave highlighting the University’s peer support group for staff returning from maternity / adoption </w:t>
            </w:r>
            <w:r>
              <w:t>leave.</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sidRPr="00BD66A2">
              <w:rPr>
                <w:rFonts w:eastAsia="Times New Roman"/>
                <w:bCs/>
                <w:color w:val="000000"/>
                <w:lang w:eastAsia="en-GB"/>
              </w:rPr>
              <w:t xml:space="preserve">Support for those returning from </w:t>
            </w:r>
            <w:r>
              <w:rPr>
                <w:rFonts w:eastAsia="Times New Roman"/>
                <w:bCs/>
                <w:color w:val="000000"/>
                <w:lang w:eastAsia="en-GB"/>
              </w:rPr>
              <w:t>parental</w:t>
            </w:r>
            <w:r w:rsidRPr="00BD66A2">
              <w:rPr>
                <w:rFonts w:eastAsia="Times New Roman"/>
                <w:bCs/>
                <w:color w:val="000000"/>
                <w:lang w:eastAsia="en-GB"/>
              </w:rPr>
              <w:t xml:space="preserve"> leave is not always visible</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8A7D39">
            <w:pPr>
              <w:pStyle w:val="ListParagraph"/>
              <w:numPr>
                <w:ilvl w:val="0"/>
                <w:numId w:val="3"/>
              </w:numPr>
              <w:spacing w:before="0" w:line="240" w:lineRule="auto"/>
              <w:ind w:left="0" w:hanging="284"/>
              <w:rPr>
                <w:rFonts w:eastAsia="Times New Roman"/>
                <w:bCs/>
                <w:color w:val="000000"/>
                <w:lang w:eastAsia="en-GB"/>
              </w:rPr>
            </w:pPr>
            <w:r>
              <w:rPr>
                <w:rFonts w:eastAsia="Times New Roman"/>
                <w:bCs/>
                <w:color w:val="000000"/>
                <w:lang w:eastAsia="en-GB"/>
              </w:rPr>
              <w:t>Research University policies and summarise into a single document with links to full policies</w:t>
            </w:r>
          </w:p>
          <w:p w:rsidR="008A7D39" w:rsidRDefault="008A7D39" w:rsidP="008A7D39">
            <w:pPr>
              <w:pStyle w:val="ListParagraph"/>
              <w:numPr>
                <w:ilvl w:val="0"/>
                <w:numId w:val="3"/>
              </w:numPr>
              <w:spacing w:before="0" w:line="240" w:lineRule="auto"/>
              <w:ind w:left="0" w:hanging="284"/>
              <w:rPr>
                <w:rFonts w:eastAsia="Times New Roman"/>
                <w:bCs/>
                <w:color w:val="000000"/>
                <w:lang w:eastAsia="en-GB"/>
              </w:rPr>
            </w:pPr>
            <w:r>
              <w:rPr>
                <w:rFonts w:eastAsia="Times New Roman"/>
                <w:bCs/>
                <w:color w:val="000000"/>
                <w:lang w:eastAsia="en-GB"/>
              </w:rPr>
              <w:t>Identify best practice by discussing with other Schools</w:t>
            </w:r>
          </w:p>
          <w:p w:rsidR="008A7D39" w:rsidRDefault="008A7D39" w:rsidP="008A7D39">
            <w:pPr>
              <w:pStyle w:val="ListParagraph"/>
              <w:numPr>
                <w:ilvl w:val="0"/>
                <w:numId w:val="3"/>
              </w:numPr>
              <w:spacing w:before="0" w:line="240" w:lineRule="auto"/>
              <w:ind w:left="0" w:hanging="284"/>
              <w:rPr>
                <w:rFonts w:eastAsia="Times New Roman"/>
                <w:bCs/>
                <w:color w:val="000000"/>
                <w:lang w:eastAsia="en-GB"/>
              </w:rPr>
            </w:pPr>
            <w:r>
              <w:rPr>
                <w:rFonts w:eastAsia="Times New Roman"/>
                <w:bCs/>
                <w:color w:val="000000"/>
                <w:lang w:eastAsia="en-GB"/>
              </w:rPr>
              <w:t>Produce written document</w:t>
            </w:r>
          </w:p>
          <w:p w:rsidR="008A7D39" w:rsidRDefault="008A7D39" w:rsidP="008A7D39">
            <w:pPr>
              <w:pStyle w:val="ListParagraph"/>
              <w:numPr>
                <w:ilvl w:val="0"/>
                <w:numId w:val="3"/>
              </w:numPr>
              <w:spacing w:before="0" w:line="240" w:lineRule="auto"/>
              <w:ind w:left="0" w:hanging="284"/>
              <w:rPr>
                <w:rFonts w:eastAsia="Times New Roman"/>
                <w:bCs/>
                <w:color w:val="000000"/>
                <w:lang w:eastAsia="en-GB"/>
              </w:rPr>
            </w:pPr>
            <w:r>
              <w:rPr>
                <w:rFonts w:eastAsia="Times New Roman"/>
                <w:bCs/>
                <w:color w:val="000000"/>
                <w:lang w:eastAsia="en-GB"/>
              </w:rPr>
              <w:t>Ensure this is provided to staff as part of their induction back</w:t>
            </w:r>
          </w:p>
          <w:p w:rsidR="008A7D39" w:rsidRPr="008511EF" w:rsidRDefault="008A7D39" w:rsidP="008A7D39">
            <w:pPr>
              <w:pStyle w:val="ListParagraph"/>
              <w:numPr>
                <w:ilvl w:val="0"/>
                <w:numId w:val="3"/>
              </w:numPr>
              <w:spacing w:before="0" w:line="240" w:lineRule="auto"/>
              <w:ind w:left="0" w:hanging="284"/>
              <w:rPr>
                <w:rFonts w:eastAsia="Times New Roman"/>
                <w:bCs/>
                <w:color w:val="000000"/>
                <w:lang w:eastAsia="en-GB"/>
              </w:rPr>
            </w:pPr>
            <w:r>
              <w:rPr>
                <w:rFonts w:eastAsia="Times New Roman"/>
                <w:bCs/>
                <w:color w:val="000000"/>
                <w:lang w:eastAsia="en-GB"/>
              </w:rPr>
              <w:t xml:space="preserve">Encourage feedback from staff to measure </w:t>
            </w:r>
            <w:r>
              <w:rPr>
                <w:rFonts w:eastAsia="Times New Roman"/>
                <w:bCs/>
                <w:color w:val="000000"/>
                <w:lang w:eastAsia="en-GB"/>
              </w:rPr>
              <w:lastRenderedPageBreak/>
              <w:t>effectiveness.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eastAsia="Times New Roman"/>
                <w:bCs/>
                <w:color w:val="000000"/>
                <w:lang w:eastAsia="en-GB"/>
              </w:rPr>
            </w:pPr>
            <w:r>
              <w:rPr>
                <w:rFonts w:eastAsia="Times New Roman"/>
                <w:bCs/>
                <w:color w:val="000000"/>
                <w:lang w:eastAsia="en-GB"/>
              </w:rPr>
              <w:lastRenderedPageBreak/>
              <w:t>September 2018</w:t>
            </w:r>
          </w:p>
          <w:p w:rsidR="008A7D39" w:rsidRDefault="008A7D39" w:rsidP="00A86FBB">
            <w:pPr>
              <w:spacing w:before="0" w:line="240" w:lineRule="auto"/>
            </w:pP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Pr>
                <w:rFonts w:eastAsia="Times New Roman"/>
                <w:bCs/>
                <w:color w:val="000000"/>
                <w:lang w:eastAsia="en-GB"/>
              </w:rPr>
              <w:t>Head of School Administration</w:t>
            </w:r>
          </w:p>
        </w:tc>
        <w:tc>
          <w:tcPr>
            <w:tcW w:w="2179" w:type="dxa"/>
            <w:tcBorders>
              <w:top w:val="single" w:sz="4" w:space="0" w:color="auto"/>
              <w:left w:val="nil"/>
              <w:bottom w:val="single" w:sz="4" w:space="0" w:color="auto"/>
              <w:right w:val="single" w:sz="4" w:space="0" w:color="auto"/>
            </w:tcBorders>
            <w:shd w:val="clear" w:color="auto" w:fill="auto"/>
          </w:tcPr>
          <w:p w:rsidR="008A7D39" w:rsidRPr="00BD66A2" w:rsidRDefault="008A7D39" w:rsidP="00A86FBB">
            <w:pPr>
              <w:spacing w:before="0" w:line="240" w:lineRule="auto"/>
              <w:rPr>
                <w:rFonts w:eastAsia="Times New Roman"/>
                <w:bCs/>
                <w:color w:val="000000"/>
                <w:lang w:eastAsia="en-GB"/>
              </w:rPr>
            </w:pPr>
            <w:r w:rsidRPr="00BD66A2">
              <w:rPr>
                <w:rFonts w:eastAsia="Times New Roman"/>
                <w:bCs/>
                <w:color w:val="000000"/>
                <w:lang w:eastAsia="en-GB"/>
              </w:rPr>
              <w:t>A clearly written document outlining support on return from maternity / adoption leave.</w:t>
            </w:r>
          </w:p>
          <w:p w:rsidR="008A7D39" w:rsidRDefault="008A7D39" w:rsidP="00A86FBB">
            <w:pPr>
              <w:spacing w:before="0"/>
            </w:pP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A1336E" w:rsidRDefault="008A7D39" w:rsidP="00A86FBB">
            <w:pPr>
              <w:spacing w:before="0"/>
              <w:rPr>
                <w:rFonts w:cs="Calibri"/>
              </w:rPr>
            </w:pPr>
            <w:r>
              <w:rPr>
                <w:rFonts w:cs="Calibri"/>
              </w:rPr>
              <w:lastRenderedPageBreak/>
              <w:t>4.5.3</w:t>
            </w:r>
          </w:p>
        </w:tc>
        <w:tc>
          <w:tcPr>
            <w:tcW w:w="2450"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t>Line managers to provide a ‘return to work’ briefing for staff returning from parental leave</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Pr>
                <w:rFonts w:eastAsia="Times New Roman"/>
                <w:bCs/>
                <w:color w:val="000000"/>
                <w:lang w:eastAsia="en-GB"/>
              </w:rPr>
              <w:t>To ensure staff are fully up to date with any changes that have taken place while they were away, are introduced to new colleagues and feel welcomed back into the School</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8A7D39">
            <w:pPr>
              <w:pStyle w:val="ListParagraph"/>
              <w:numPr>
                <w:ilvl w:val="0"/>
                <w:numId w:val="4"/>
              </w:numPr>
              <w:spacing w:before="0" w:line="240" w:lineRule="auto"/>
              <w:ind w:left="0" w:hanging="284"/>
              <w:rPr>
                <w:rFonts w:eastAsia="Times New Roman"/>
                <w:bCs/>
                <w:color w:val="000000"/>
                <w:lang w:eastAsia="en-GB"/>
              </w:rPr>
            </w:pPr>
            <w:r>
              <w:rPr>
                <w:rFonts w:eastAsia="Times New Roman"/>
                <w:bCs/>
                <w:color w:val="000000"/>
                <w:lang w:eastAsia="en-GB"/>
              </w:rPr>
              <w:t>A shortened* version of the University induction checklist to be produced and placed on SharePoint</w:t>
            </w:r>
          </w:p>
          <w:p w:rsidR="008A7D39" w:rsidRDefault="008A7D39" w:rsidP="008A7D39">
            <w:pPr>
              <w:pStyle w:val="ListParagraph"/>
              <w:numPr>
                <w:ilvl w:val="0"/>
                <w:numId w:val="4"/>
              </w:numPr>
              <w:spacing w:before="0" w:line="240" w:lineRule="auto"/>
              <w:ind w:left="0" w:hanging="284"/>
              <w:rPr>
                <w:rFonts w:eastAsia="Times New Roman"/>
                <w:bCs/>
                <w:color w:val="000000"/>
                <w:lang w:eastAsia="en-GB"/>
              </w:rPr>
            </w:pPr>
            <w:r>
              <w:rPr>
                <w:rFonts w:eastAsia="Times New Roman"/>
                <w:bCs/>
                <w:color w:val="000000"/>
                <w:lang w:eastAsia="en-GB"/>
              </w:rPr>
              <w:t>Managers informed of the requirement to run through this checklist and provide staff with a copy of the School induction book (plus research induction book for returning research staff)</w:t>
            </w:r>
          </w:p>
          <w:p w:rsidR="008A7D39" w:rsidRDefault="008A7D39" w:rsidP="00A86FBB">
            <w:pPr>
              <w:spacing w:before="0" w:line="240" w:lineRule="auto"/>
            </w:pPr>
            <w:r>
              <w:rPr>
                <w:rFonts w:eastAsia="Times New Roman"/>
                <w:bCs/>
                <w:color w:val="000000"/>
                <w:lang w:eastAsia="en-GB"/>
              </w:rPr>
              <w:t>* since the full checklist includes information which is irrelevant for returning staff (e.g. providing bank details)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pPr>
            <w:r>
              <w:rPr>
                <w:rFonts w:eastAsia="Times New Roman"/>
                <w:bCs/>
                <w:color w:val="000000"/>
                <w:lang w:eastAsia="en-GB"/>
              </w:rPr>
              <w:t>December 2018</w:t>
            </w:r>
          </w:p>
        </w:tc>
        <w:tc>
          <w:tcPr>
            <w:tcW w:w="1634"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eastAsia="Times New Roman"/>
                <w:bCs/>
                <w:color w:val="000000"/>
                <w:lang w:eastAsia="en-GB"/>
              </w:rPr>
            </w:pPr>
            <w:r>
              <w:rPr>
                <w:rFonts w:eastAsia="Times New Roman"/>
                <w:bCs/>
                <w:color w:val="000000"/>
                <w:lang w:eastAsia="en-GB"/>
              </w:rPr>
              <w:t>Head of School Administration</w:t>
            </w:r>
          </w:p>
          <w:p w:rsidR="008A7D39" w:rsidRDefault="008A7D39" w:rsidP="00A86FBB">
            <w:pPr>
              <w:spacing w:before="0" w:line="240" w:lineRule="auto"/>
              <w:rPr>
                <w:rFonts w:eastAsia="Times New Roman"/>
                <w:bCs/>
                <w:color w:val="000000"/>
                <w:lang w:eastAsia="en-GB"/>
              </w:rPr>
            </w:pPr>
          </w:p>
          <w:p w:rsidR="008A7D39" w:rsidRDefault="008A7D39" w:rsidP="00A86FBB">
            <w:pPr>
              <w:spacing w:before="0"/>
            </w:pPr>
          </w:p>
        </w:tc>
        <w:tc>
          <w:tcPr>
            <w:tcW w:w="2179"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pPr>
            <w:r>
              <w:rPr>
                <w:rFonts w:eastAsia="Times New Roman"/>
                <w:bCs/>
                <w:color w:val="000000"/>
                <w:lang w:eastAsia="en-GB"/>
              </w:rPr>
              <w:t>Staff returning from parental leave feel welcome and fully integrated back into the School. To be measured through our next School survey and in the University Staff Survey free comments</w:t>
            </w:r>
          </w:p>
        </w:tc>
      </w:tr>
      <w:tr w:rsidR="008A7D39" w:rsidRPr="00A1336E" w:rsidTr="00A86FBB">
        <w:trPr>
          <w:trHeight w:val="787"/>
          <w:tblHeader/>
        </w:trPr>
        <w:tc>
          <w:tcPr>
            <w:tcW w:w="921" w:type="dxa"/>
            <w:tcBorders>
              <w:top w:val="single" w:sz="4" w:space="0" w:color="auto"/>
              <w:left w:val="single" w:sz="4" w:space="0" w:color="auto"/>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Action number</w:t>
            </w:r>
          </w:p>
        </w:tc>
        <w:tc>
          <w:tcPr>
            <w:tcW w:w="2450"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Planned action</w:t>
            </w:r>
          </w:p>
        </w:tc>
        <w:tc>
          <w:tcPr>
            <w:tcW w:w="258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Rationale</w:t>
            </w:r>
          </w:p>
        </w:tc>
        <w:tc>
          <w:tcPr>
            <w:tcW w:w="3937"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Key outputs and milestones</w:t>
            </w:r>
          </w:p>
        </w:tc>
        <w:tc>
          <w:tcPr>
            <w:tcW w:w="1236"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Timeframe</w:t>
            </w:r>
          </w:p>
        </w:tc>
        <w:tc>
          <w:tcPr>
            <w:tcW w:w="1634" w:type="dxa"/>
            <w:gridSpan w:val="2"/>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Role holder(s) responsible</w:t>
            </w:r>
          </w:p>
        </w:tc>
        <w:tc>
          <w:tcPr>
            <w:tcW w:w="2179" w:type="dxa"/>
            <w:tcBorders>
              <w:top w:val="single" w:sz="4" w:space="0" w:color="auto"/>
              <w:left w:val="nil"/>
              <w:bottom w:val="single" w:sz="4" w:space="0" w:color="auto"/>
              <w:right w:val="single" w:sz="4" w:space="0" w:color="auto"/>
            </w:tcBorders>
            <w:shd w:val="clear" w:color="auto" w:fill="FDD895"/>
            <w:hideMark/>
          </w:tcPr>
          <w:p w:rsidR="008A7D39" w:rsidRPr="00A1336E" w:rsidRDefault="008A7D39" w:rsidP="00A86FBB">
            <w:pPr>
              <w:spacing w:before="0" w:line="240" w:lineRule="auto"/>
              <w:rPr>
                <w:rFonts w:eastAsia="Times New Roman"/>
                <w:b/>
                <w:bCs/>
                <w:color w:val="000000"/>
                <w:lang w:eastAsia="en-GB"/>
              </w:rPr>
            </w:pPr>
            <w:r w:rsidRPr="00A1336E">
              <w:rPr>
                <w:rFonts w:eastAsia="Times New Roman"/>
                <w:b/>
                <w:bCs/>
                <w:color w:val="000000"/>
                <w:lang w:eastAsia="en-GB"/>
              </w:rPr>
              <w:t>Success criteria and outcome</w:t>
            </w:r>
          </w:p>
        </w:tc>
      </w:tr>
      <w:tr w:rsidR="008A7D39" w:rsidRPr="00A1336E" w:rsidTr="00A86FBB">
        <w:trPr>
          <w:trHeight w:val="414"/>
        </w:trPr>
        <w:tc>
          <w:tcPr>
            <w:tcW w:w="14944" w:type="dxa"/>
            <w:gridSpan w:val="8"/>
            <w:tcBorders>
              <w:top w:val="single" w:sz="4" w:space="0" w:color="auto"/>
              <w:left w:val="single" w:sz="4" w:space="0" w:color="auto"/>
              <w:bottom w:val="single" w:sz="4" w:space="0" w:color="auto"/>
              <w:right w:val="single" w:sz="4" w:space="0" w:color="auto"/>
            </w:tcBorders>
            <w:shd w:val="clear" w:color="auto" w:fill="D9EDFF"/>
          </w:tcPr>
          <w:p w:rsidR="008A7D39" w:rsidRPr="00A1336E" w:rsidRDefault="008A7D39" w:rsidP="00A86FBB">
            <w:pPr>
              <w:spacing w:before="0" w:line="240" w:lineRule="auto"/>
              <w:rPr>
                <w:rFonts w:eastAsia="Times New Roman"/>
                <w:b/>
                <w:bCs/>
                <w:color w:val="000000"/>
                <w:lang w:eastAsia="en-GB"/>
              </w:rPr>
            </w:pPr>
            <w:r>
              <w:rPr>
                <w:rFonts w:eastAsia="Times New Roman"/>
                <w:b/>
                <w:bCs/>
                <w:color w:val="000000"/>
                <w:lang w:eastAsia="en-GB"/>
              </w:rPr>
              <w:t xml:space="preserve">4.6: </w:t>
            </w:r>
            <w:r w:rsidRPr="00966F80">
              <w:rPr>
                <w:b/>
              </w:rPr>
              <w:t>Organisation and culture</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4.6.1</w:t>
            </w:r>
          </w:p>
        </w:tc>
        <w:tc>
          <w:tcPr>
            <w:tcW w:w="2450" w:type="dxa"/>
            <w:tcBorders>
              <w:top w:val="single" w:sz="4" w:space="0" w:color="auto"/>
              <w:left w:val="nil"/>
              <w:bottom w:val="single" w:sz="4" w:space="0" w:color="auto"/>
              <w:right w:val="single" w:sz="4" w:space="0" w:color="auto"/>
            </w:tcBorders>
            <w:shd w:val="clear" w:color="auto" w:fill="auto"/>
          </w:tcPr>
          <w:p w:rsidR="008A7D39" w:rsidRPr="00966F80" w:rsidRDefault="008A7D39" w:rsidP="00A86FBB">
            <w:pPr>
              <w:spacing w:before="0" w:after="200" w:line="276" w:lineRule="auto"/>
              <w:rPr>
                <w:i/>
              </w:rPr>
            </w:pPr>
            <w:r w:rsidRPr="00106096">
              <w:rPr>
                <w:rFonts w:cs="Calibri"/>
              </w:rPr>
              <w:t>Ensure that School is inclusive for all and provide opportunities for academic and administrative staff to mix informally.</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eastAsia="Times New Roman"/>
                <w:bCs/>
                <w:color w:val="000000"/>
                <w:lang w:eastAsia="en-GB"/>
              </w:rPr>
            </w:pPr>
            <w:r>
              <w:rPr>
                <w:rFonts w:eastAsia="Times New Roman"/>
                <w:bCs/>
                <w:color w:val="000000"/>
                <w:lang w:eastAsia="en-GB"/>
              </w:rPr>
              <w:t>We wish to promote an inclusive and harmonious working environment</w:t>
            </w:r>
          </w:p>
          <w:p w:rsidR="008A7D39" w:rsidRDefault="008A7D39" w:rsidP="00A86FBB">
            <w:pPr>
              <w:spacing w:before="0" w:after="200" w:line="276" w:lineRule="auto"/>
            </w:pP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8A7D39">
            <w:pPr>
              <w:pStyle w:val="ListParagraph"/>
              <w:numPr>
                <w:ilvl w:val="0"/>
                <w:numId w:val="5"/>
              </w:numPr>
              <w:spacing w:before="0" w:line="240" w:lineRule="auto"/>
              <w:ind w:left="0" w:hanging="284"/>
              <w:rPr>
                <w:rFonts w:eastAsia="Times New Roman"/>
                <w:bCs/>
                <w:color w:val="000000"/>
                <w:lang w:eastAsia="en-GB"/>
              </w:rPr>
            </w:pPr>
            <w:r>
              <w:rPr>
                <w:rFonts w:eastAsia="Times New Roman"/>
                <w:bCs/>
                <w:color w:val="000000"/>
                <w:lang w:eastAsia="en-GB"/>
              </w:rPr>
              <w:t>Arrange bi-monthly Head of School c</w:t>
            </w:r>
            <w:r w:rsidRPr="0087197D">
              <w:rPr>
                <w:rFonts w:eastAsia="Times New Roman"/>
                <w:bCs/>
                <w:color w:val="000000"/>
                <w:lang w:eastAsia="en-GB"/>
              </w:rPr>
              <w:t>offee mornings</w:t>
            </w:r>
          </w:p>
          <w:p w:rsidR="008A7D39" w:rsidRDefault="008A7D39" w:rsidP="008A7D39">
            <w:pPr>
              <w:pStyle w:val="ListParagraph"/>
              <w:numPr>
                <w:ilvl w:val="0"/>
                <w:numId w:val="5"/>
              </w:numPr>
              <w:spacing w:before="0" w:line="240" w:lineRule="auto"/>
              <w:ind w:left="0" w:hanging="284"/>
              <w:rPr>
                <w:rFonts w:eastAsia="Times New Roman"/>
                <w:bCs/>
                <w:color w:val="000000"/>
                <w:lang w:eastAsia="en-GB"/>
              </w:rPr>
            </w:pPr>
            <w:r>
              <w:rPr>
                <w:rFonts w:eastAsia="Times New Roman"/>
                <w:bCs/>
                <w:color w:val="000000"/>
                <w:lang w:eastAsia="en-GB"/>
              </w:rPr>
              <w:t>Encourage staff to make use of the new Place to Have a Break</w:t>
            </w:r>
          </w:p>
          <w:p w:rsidR="008A7D39" w:rsidRPr="00687D34" w:rsidRDefault="008A7D39" w:rsidP="008A7D39">
            <w:pPr>
              <w:pStyle w:val="ListParagraph"/>
              <w:numPr>
                <w:ilvl w:val="0"/>
                <w:numId w:val="5"/>
              </w:numPr>
              <w:spacing w:before="0" w:line="240" w:lineRule="auto"/>
              <w:ind w:left="0" w:hanging="284"/>
              <w:rPr>
                <w:rFonts w:eastAsia="Times New Roman"/>
                <w:bCs/>
                <w:color w:val="000000"/>
                <w:lang w:eastAsia="en-GB"/>
              </w:rPr>
            </w:pPr>
            <w:r w:rsidRPr="00687D34">
              <w:rPr>
                <w:rFonts w:eastAsia="Times New Roman"/>
                <w:bCs/>
                <w:color w:val="000000"/>
                <w:lang w:eastAsia="en-GB"/>
              </w:rPr>
              <w:t xml:space="preserve">Encourage staff to set up social activity groups </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rPr>
                <w:rFonts w:eastAsia="Times New Roman"/>
                <w:bCs/>
                <w:color w:val="000000"/>
                <w:lang w:eastAsia="en-GB"/>
              </w:rPr>
              <w:t>From 2019/19 academic year</w:t>
            </w:r>
          </w:p>
        </w:tc>
        <w:tc>
          <w:tcPr>
            <w:tcW w:w="1451"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eastAsia="Times New Roman"/>
                <w:bCs/>
                <w:color w:val="000000"/>
                <w:lang w:eastAsia="en-GB"/>
              </w:rPr>
            </w:pPr>
            <w:r>
              <w:t>School Office Manager</w:t>
            </w:r>
          </w:p>
          <w:p w:rsidR="008A7D39" w:rsidRDefault="008A7D39" w:rsidP="00A86FBB">
            <w:pPr>
              <w:spacing w:before="0" w:line="240" w:lineRule="auto"/>
              <w:rPr>
                <w:rFonts w:eastAsia="Times New Roman"/>
                <w:bCs/>
                <w:color w:val="000000"/>
                <w:lang w:eastAsia="en-GB"/>
              </w:rPr>
            </w:pPr>
            <w:r>
              <w:rPr>
                <w:rFonts w:eastAsia="Times New Roman"/>
                <w:bCs/>
                <w:color w:val="000000"/>
                <w:lang w:eastAsia="en-GB"/>
              </w:rPr>
              <w:t>Head of School Head of School Administration</w:t>
            </w:r>
          </w:p>
          <w:p w:rsidR="008A7D39" w:rsidRDefault="008A7D39" w:rsidP="00A86FBB">
            <w:pPr>
              <w:spacing w:before="0" w:after="200" w:line="276" w:lineRule="auto"/>
            </w:pPr>
            <w:r w:rsidRPr="00BD66A2">
              <w:rPr>
                <w:rFonts w:eastAsia="Times New Roman"/>
                <w:bCs/>
                <w:color w:val="000000"/>
                <w:lang w:eastAsia="en-GB"/>
              </w:rPr>
              <w:t xml:space="preserve"> </w:t>
            </w:r>
          </w:p>
        </w:tc>
        <w:tc>
          <w:tcPr>
            <w:tcW w:w="2362"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line="240" w:lineRule="auto"/>
              <w:rPr>
                <w:rFonts w:eastAsia="Times New Roman"/>
                <w:bCs/>
                <w:color w:val="000000"/>
                <w:lang w:eastAsia="en-GB"/>
              </w:rPr>
            </w:pPr>
            <w:r>
              <w:rPr>
                <w:rFonts w:eastAsia="Times New Roman"/>
                <w:bCs/>
                <w:color w:val="000000"/>
                <w:lang w:eastAsia="en-GB"/>
              </w:rPr>
              <w:t>Coffee mornings are well attended</w:t>
            </w:r>
          </w:p>
          <w:p w:rsidR="008A7D39" w:rsidRDefault="008A7D39" w:rsidP="00A86FBB">
            <w:pPr>
              <w:spacing w:before="0" w:line="240" w:lineRule="auto"/>
              <w:rPr>
                <w:rFonts w:eastAsia="Times New Roman"/>
                <w:bCs/>
                <w:color w:val="000000"/>
                <w:lang w:eastAsia="en-GB"/>
              </w:rPr>
            </w:pPr>
          </w:p>
          <w:p w:rsidR="008A7D39" w:rsidRDefault="008A7D39" w:rsidP="00A86FBB">
            <w:pPr>
              <w:spacing w:before="0" w:after="200" w:line="276" w:lineRule="auto"/>
            </w:pPr>
            <w:proofErr w:type="gramStart"/>
            <w:r>
              <w:rPr>
                <w:rFonts w:eastAsia="Times New Roman"/>
                <w:bCs/>
                <w:color w:val="000000"/>
                <w:lang w:eastAsia="en-GB"/>
              </w:rPr>
              <w:t>Staff have</w:t>
            </w:r>
            <w:proofErr w:type="gramEnd"/>
            <w:r>
              <w:rPr>
                <w:rFonts w:eastAsia="Times New Roman"/>
                <w:bCs/>
                <w:color w:val="000000"/>
                <w:lang w:eastAsia="en-GB"/>
              </w:rPr>
              <w:t xml:space="preserve"> a variety of opportunities to socialise and network. Check in with staff that they know that they are welcome</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Pr="00D4503E" w:rsidRDefault="008A7D39" w:rsidP="00A86FBB">
            <w:pPr>
              <w:spacing w:before="0"/>
            </w:pPr>
            <w:r>
              <w:t>4.6.2</w:t>
            </w:r>
          </w:p>
        </w:tc>
        <w:tc>
          <w:tcPr>
            <w:tcW w:w="2450" w:type="dxa"/>
            <w:tcBorders>
              <w:top w:val="single" w:sz="4" w:space="0" w:color="auto"/>
              <w:left w:val="nil"/>
              <w:bottom w:val="single" w:sz="4" w:space="0" w:color="auto"/>
              <w:right w:val="single" w:sz="4" w:space="0" w:color="auto"/>
            </w:tcBorders>
            <w:shd w:val="clear" w:color="auto" w:fill="auto"/>
          </w:tcPr>
          <w:p w:rsidR="008A7D39" w:rsidRPr="00A079F7" w:rsidRDefault="008A7D39" w:rsidP="00A86FBB">
            <w:pPr>
              <w:spacing w:before="0" w:after="200" w:line="276" w:lineRule="auto"/>
              <w:rPr>
                <w:i/>
              </w:rPr>
            </w:pPr>
            <w:r w:rsidRPr="00966F80">
              <w:rPr>
                <w:i/>
              </w:rPr>
              <w:t>Develop</w:t>
            </w:r>
            <w:r w:rsidRPr="00A079F7">
              <w:rPr>
                <w:bCs/>
                <w:i/>
                <w:lang w:val="en-US"/>
              </w:rPr>
              <w:t xml:space="preserve"> new workload model, taking into account different career paths and need for flexible working and giving full recognition to different types of contribution</w:t>
            </w:r>
          </w:p>
          <w:p w:rsidR="008A7D39" w:rsidRDefault="008A7D39" w:rsidP="008A7D39">
            <w:pPr>
              <w:pStyle w:val="ListParagraph"/>
              <w:numPr>
                <w:ilvl w:val="0"/>
                <w:numId w:val="1"/>
              </w:numPr>
              <w:spacing w:before="0" w:after="200" w:line="276" w:lineRule="auto"/>
              <w:ind w:left="0"/>
            </w:pPr>
            <w:r>
              <w:t xml:space="preserve">Audit current teaching, </w:t>
            </w:r>
            <w:r>
              <w:lastRenderedPageBreak/>
              <w:t>research and admin roles of academic staff in the school</w:t>
            </w:r>
          </w:p>
          <w:p w:rsidR="008A7D39" w:rsidRDefault="008A7D39" w:rsidP="008A7D39">
            <w:pPr>
              <w:pStyle w:val="ListParagraph"/>
              <w:numPr>
                <w:ilvl w:val="0"/>
                <w:numId w:val="1"/>
              </w:numPr>
              <w:spacing w:before="0" w:after="200" w:line="276" w:lineRule="auto"/>
              <w:ind w:left="0"/>
            </w:pPr>
            <w:r>
              <w:t>Undertake benchmarking exercise to determine typical loads across the school for different career stages (accounting for agreed part time of flexible work arrangements) and to identify staff with outlying loads</w:t>
            </w:r>
          </w:p>
          <w:p w:rsidR="008A7D39" w:rsidRDefault="008A7D39" w:rsidP="008A7D39">
            <w:pPr>
              <w:pStyle w:val="ListParagraph"/>
              <w:numPr>
                <w:ilvl w:val="0"/>
                <w:numId w:val="1"/>
              </w:numPr>
              <w:spacing w:before="0" w:after="200" w:line="276" w:lineRule="auto"/>
              <w:ind w:left="0"/>
            </w:pPr>
            <w:r>
              <w:t>Revise P&amp;DR process, so that collection and verification of loads data are embedded for future years and that individual loads, relative to other colleagues at a similar career level, are discussed with line managers on an annual basis</w:t>
            </w:r>
          </w:p>
          <w:p w:rsidR="008A7D39" w:rsidRDefault="008A7D39" w:rsidP="008A7D39">
            <w:pPr>
              <w:pStyle w:val="ListParagraph"/>
              <w:numPr>
                <w:ilvl w:val="0"/>
                <w:numId w:val="1"/>
              </w:numPr>
              <w:spacing w:before="0" w:after="200" w:line="276" w:lineRule="auto"/>
              <w:ind w:left="0"/>
            </w:pPr>
            <w:r>
              <w:t>Embed workload data in the allocation process for centrally administered duties (allocation of tutorial groups, project students, admissions day involvement etc.)</w:t>
            </w:r>
          </w:p>
          <w:p w:rsidR="008A7D39" w:rsidRDefault="008A7D39" w:rsidP="008A7D39">
            <w:pPr>
              <w:pStyle w:val="ListParagraph"/>
              <w:numPr>
                <w:ilvl w:val="0"/>
                <w:numId w:val="1"/>
              </w:numPr>
              <w:spacing w:before="0" w:after="200" w:line="276" w:lineRule="auto"/>
              <w:ind w:left="0"/>
            </w:pPr>
            <w:r>
              <w:t>Develop system for recognition and reward of exceptional contributions.</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lastRenderedPageBreak/>
              <w:t xml:space="preserve">At present, there is only a partial awareness by school management of the work undertaken by individual members of staff.  A great deal of the distribution of work depends on goodwill.  This is probably a throwback to earlier times, when the </w:t>
            </w:r>
            <w:r>
              <w:lastRenderedPageBreak/>
              <w:t xml:space="preserve">department was much smaller.  As a result, there is a perception that certain people make a disproportionate contribution without recognition and that other staff, who participate less, are not challenged. Individuals generally do not know whether their contribution is appropriate.  </w:t>
            </w:r>
            <w:proofErr w:type="gramStart"/>
            <w:r>
              <w:t>Staff agreeing to do ‘goodwill’ work (especially open days/recruitment) are</w:t>
            </w:r>
            <w:proofErr w:type="gramEnd"/>
            <w:r>
              <w:t xml:space="preserve"> disproportionally female.  Certain forms of contribution are not explicitly considered in promotions system. </w:t>
            </w:r>
          </w:p>
          <w:p w:rsidR="008A7D39" w:rsidRDefault="008A7D39" w:rsidP="00A86FBB">
            <w:pPr>
              <w:spacing w:before="0" w:line="240" w:lineRule="auto"/>
            </w:pP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8A7D39">
            <w:pPr>
              <w:pStyle w:val="ListParagraph"/>
              <w:numPr>
                <w:ilvl w:val="0"/>
                <w:numId w:val="2"/>
              </w:numPr>
              <w:spacing w:before="0" w:after="200" w:line="276" w:lineRule="auto"/>
              <w:ind w:left="0"/>
            </w:pPr>
            <w:r>
              <w:lastRenderedPageBreak/>
              <w:t>Completed database covering major staff roles and responsibilities</w:t>
            </w:r>
          </w:p>
          <w:p w:rsidR="008A7D39" w:rsidRDefault="008A7D39" w:rsidP="008A7D39">
            <w:pPr>
              <w:pStyle w:val="ListParagraph"/>
              <w:numPr>
                <w:ilvl w:val="0"/>
                <w:numId w:val="2"/>
              </w:numPr>
              <w:spacing w:before="0" w:after="200" w:line="276" w:lineRule="auto"/>
              <w:ind w:left="0"/>
            </w:pPr>
            <w:r>
              <w:t>Staff supplied with information about their own loads in relation to their peers</w:t>
            </w:r>
          </w:p>
          <w:p w:rsidR="008A7D39" w:rsidRDefault="008A7D39" w:rsidP="008A7D39">
            <w:pPr>
              <w:pStyle w:val="ListParagraph"/>
              <w:numPr>
                <w:ilvl w:val="0"/>
                <w:numId w:val="2"/>
              </w:numPr>
              <w:spacing w:before="0" w:after="200" w:line="276" w:lineRule="auto"/>
              <w:ind w:left="0"/>
            </w:pPr>
            <w:r>
              <w:t>PDR process operating using revised forms which incorporate explicit verification and discussion of load, in relation to career stage and aspirations for progression</w:t>
            </w:r>
          </w:p>
          <w:p w:rsidR="008A7D39" w:rsidRDefault="008A7D39" w:rsidP="008A7D39">
            <w:pPr>
              <w:pStyle w:val="ListParagraph"/>
              <w:numPr>
                <w:ilvl w:val="0"/>
                <w:numId w:val="2"/>
              </w:numPr>
              <w:spacing w:before="0" w:after="200" w:line="276" w:lineRule="auto"/>
              <w:ind w:left="0"/>
            </w:pPr>
            <w:r>
              <w:t xml:space="preserve">Establishment of work allocation system to </w:t>
            </w:r>
            <w:r>
              <w:lastRenderedPageBreak/>
              <w:t>annually review the allocation of responsibilities reflecting individual overall loads.</w:t>
            </w:r>
          </w:p>
          <w:p w:rsidR="008A7D39" w:rsidRDefault="008A7D39" w:rsidP="008A7D39">
            <w:pPr>
              <w:pStyle w:val="ListParagraph"/>
              <w:numPr>
                <w:ilvl w:val="0"/>
                <w:numId w:val="2"/>
              </w:numPr>
              <w:spacing w:before="0" w:after="200" w:line="276" w:lineRule="auto"/>
              <w:ind w:left="0"/>
            </w:pPr>
            <w:r>
              <w:t>Recognition and reward system in place, including e.g. personal emails from head of school, general messages highlighting exceptional contributions, prize-giving at staff away day etc.</w:t>
            </w:r>
          </w:p>
          <w:p w:rsidR="008A7D39" w:rsidRDefault="008A7D39" w:rsidP="00A86FBB">
            <w:pPr>
              <w:spacing w:before="0" w:line="240" w:lineRule="auto"/>
            </w:pP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lastRenderedPageBreak/>
              <w:t>a) June 2018, annually thereafter</w:t>
            </w:r>
          </w:p>
          <w:p w:rsidR="008A7D39" w:rsidRDefault="008A7D39" w:rsidP="00A86FBB">
            <w:pPr>
              <w:spacing w:before="0" w:after="200" w:line="276" w:lineRule="auto"/>
            </w:pPr>
            <w:r>
              <w:t>b) July 2018, annually thereafter</w:t>
            </w:r>
          </w:p>
          <w:p w:rsidR="008A7D39" w:rsidRDefault="008A7D39" w:rsidP="00A86FBB">
            <w:pPr>
              <w:spacing w:before="0" w:after="200" w:line="276" w:lineRule="auto"/>
            </w:pPr>
            <w:r>
              <w:t xml:space="preserve">c) Spring </w:t>
            </w:r>
            <w:r>
              <w:lastRenderedPageBreak/>
              <w:t>2019 onwards</w:t>
            </w:r>
          </w:p>
          <w:p w:rsidR="008A7D39" w:rsidRDefault="008A7D39" w:rsidP="00A86FBB">
            <w:pPr>
              <w:spacing w:before="0" w:after="200" w:line="276" w:lineRule="auto"/>
            </w:pPr>
            <w:r>
              <w:t>d) Academic year 2019-20 onwards</w:t>
            </w:r>
          </w:p>
          <w:p w:rsidR="008A7D39" w:rsidRDefault="008A7D39" w:rsidP="00A86FBB">
            <w:pPr>
              <w:spacing w:before="0" w:after="200" w:line="276" w:lineRule="auto"/>
            </w:pPr>
            <w:r>
              <w:t>e) September 2018 onwards</w:t>
            </w:r>
          </w:p>
          <w:p w:rsidR="008A7D39" w:rsidRDefault="008A7D39" w:rsidP="00A86FBB">
            <w:pPr>
              <w:spacing w:before="0" w:line="240" w:lineRule="auto"/>
              <w:rPr>
                <w:rFonts w:ascii="Cambria" w:hAnsi="Cambria"/>
              </w:rPr>
            </w:pPr>
          </w:p>
        </w:tc>
        <w:tc>
          <w:tcPr>
            <w:tcW w:w="1451"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lastRenderedPageBreak/>
              <w:t xml:space="preserve">Head of School; Director of Teaching and Learning, Director of Research, Director of School Administration, </w:t>
            </w:r>
            <w:r>
              <w:lastRenderedPageBreak/>
              <w:t>Director of Social Responsibility</w:t>
            </w:r>
          </w:p>
          <w:p w:rsidR="008A7D39" w:rsidRDefault="008A7D39" w:rsidP="00A86FBB">
            <w:pPr>
              <w:spacing w:before="0" w:after="200" w:line="276" w:lineRule="auto"/>
            </w:pPr>
          </w:p>
        </w:tc>
        <w:tc>
          <w:tcPr>
            <w:tcW w:w="2362"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lastRenderedPageBreak/>
              <w:t>Reduced variation in overall loads for given career levels, reflected in changing distributions in annual workload data</w:t>
            </w:r>
          </w:p>
          <w:p w:rsidR="008A7D39" w:rsidRDefault="008A7D39" w:rsidP="00A86FBB">
            <w:pPr>
              <w:spacing w:before="0"/>
            </w:pPr>
            <w:r>
              <w:t>Broader involvement of staff in ‘goodwill’ activities, measured through changing workload data</w:t>
            </w:r>
          </w:p>
          <w:p w:rsidR="008A7D39" w:rsidRDefault="008A7D39" w:rsidP="00A86FBB">
            <w:pPr>
              <w:spacing w:before="0"/>
            </w:pPr>
            <w:r>
              <w:lastRenderedPageBreak/>
              <w:t>Number of staff recognised and rewarded, informally and formally, including use of data collected in promotion cases.</w:t>
            </w:r>
          </w:p>
          <w:p w:rsidR="008A7D39" w:rsidRDefault="008A7D39" w:rsidP="00A86FBB">
            <w:pPr>
              <w:spacing w:before="0"/>
            </w:pP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lastRenderedPageBreak/>
              <w:t>4.6.3</w:t>
            </w:r>
          </w:p>
        </w:tc>
        <w:tc>
          <w:tcPr>
            <w:tcW w:w="2450" w:type="dxa"/>
            <w:tcBorders>
              <w:top w:val="single" w:sz="4" w:space="0" w:color="auto"/>
              <w:left w:val="nil"/>
              <w:bottom w:val="single" w:sz="4" w:space="0" w:color="auto"/>
              <w:right w:val="single" w:sz="4" w:space="0" w:color="auto"/>
            </w:tcBorders>
            <w:shd w:val="clear" w:color="auto" w:fill="auto"/>
          </w:tcPr>
          <w:p w:rsidR="008A7D39" w:rsidRPr="00791062" w:rsidRDefault="008A7D39" w:rsidP="00A86FBB">
            <w:pPr>
              <w:spacing w:before="0" w:after="200" w:line="276" w:lineRule="auto"/>
              <w:rPr>
                <w:rFonts w:cs="Calibri"/>
              </w:rPr>
            </w:pPr>
            <w:r w:rsidRPr="00F5733B">
              <w:rPr>
                <w:rFonts w:cs="Calibri"/>
              </w:rPr>
              <w:t>To book committee meetings in the Summer for the year ahead, and agendas and reports to be circulated in advance.</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 xml:space="preserve">To ensure that departmental meetings are scheduled between 10am – 4pml. Agendas and reports to be circulated in advance so that those who are unable to attend can comment in advance. </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pStyle w:val="ListParagraph"/>
              <w:spacing w:before="0" w:after="200" w:line="276" w:lineRule="auto"/>
              <w:ind w:left="0"/>
            </w:pPr>
            <w:r>
              <w:t xml:space="preserve">Diaries are coordinated in the Summer, by the Executive Assistant in conversation with </w:t>
            </w:r>
            <w:proofErr w:type="spellStart"/>
            <w:r>
              <w:t>HoS</w:t>
            </w:r>
            <w:proofErr w:type="spellEnd"/>
            <w:r>
              <w:t>/</w:t>
            </w:r>
            <w:proofErr w:type="spellStart"/>
            <w:r>
              <w:t>HoSA</w:t>
            </w:r>
            <w:proofErr w:type="spellEnd"/>
            <w:r>
              <w:t xml:space="preserve"> and departmental leads.</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August 2018 (and annually after this date)</w:t>
            </w:r>
          </w:p>
        </w:tc>
        <w:tc>
          <w:tcPr>
            <w:tcW w:w="1451"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rPr>
                <w:rFonts w:eastAsia="Times New Roman"/>
                <w:bCs/>
                <w:color w:val="000000"/>
                <w:lang w:eastAsia="en-GB"/>
              </w:rPr>
              <w:t>Head of School /  Head of School Administration</w:t>
            </w:r>
            <w:r>
              <w:t xml:space="preserve"> Executive Assistant </w:t>
            </w:r>
          </w:p>
        </w:tc>
        <w:tc>
          <w:tcPr>
            <w:tcW w:w="2362"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Feedback from Athena SWAN 2018 survey, regarding timing of meetings, to improve.</w:t>
            </w:r>
          </w:p>
        </w:tc>
      </w:tr>
      <w:tr w:rsidR="008A7D39" w:rsidTr="00A86FBB">
        <w:trPr>
          <w:trHeight w:val="730"/>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4.6.4</w:t>
            </w:r>
          </w:p>
        </w:tc>
        <w:tc>
          <w:tcPr>
            <w:tcW w:w="2450" w:type="dxa"/>
            <w:tcBorders>
              <w:top w:val="single" w:sz="4" w:space="0" w:color="auto"/>
              <w:left w:val="nil"/>
              <w:bottom w:val="single" w:sz="4" w:space="0" w:color="auto"/>
              <w:right w:val="single" w:sz="4" w:space="0" w:color="auto"/>
            </w:tcBorders>
            <w:shd w:val="clear" w:color="auto" w:fill="auto"/>
          </w:tcPr>
          <w:p w:rsidR="008A7D39" w:rsidRPr="00791062" w:rsidRDefault="008A7D39" w:rsidP="00A86FBB">
            <w:pPr>
              <w:spacing w:before="0" w:after="200" w:line="276" w:lineRule="auto"/>
              <w:rPr>
                <w:rFonts w:cs="Calibri"/>
              </w:rPr>
            </w:pPr>
            <w:r w:rsidRPr="00F5733B">
              <w:rPr>
                <w:rFonts w:cs="Calibri"/>
              </w:rPr>
              <w:t>To hold more social events between 10am – 4pm.</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 xml:space="preserve">According to the Athena SWAN 2014 and 2016 surveys, the number of female staff (particularly academic related) who find School social events welcoming to male and female staff members has decreased. </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pStyle w:val="ListParagraph"/>
              <w:spacing w:before="0" w:after="200" w:line="276" w:lineRule="auto"/>
              <w:ind w:left="0"/>
            </w:pPr>
            <w:r>
              <w:t>Arrange the launch of the Brunswick Entrance and Foyer to be held at lunchtime.</w:t>
            </w:r>
          </w:p>
          <w:p w:rsidR="008A7D39" w:rsidRDefault="008A7D39" w:rsidP="00A86FBB">
            <w:pPr>
              <w:pStyle w:val="ListParagraph"/>
              <w:spacing w:before="0" w:after="200" w:line="276" w:lineRule="auto"/>
              <w:ind w:left="0"/>
            </w:pPr>
            <w:r>
              <w:t>The Christmas Party to be held at lunch, or earlier in the afternoon.</w:t>
            </w:r>
          </w:p>
          <w:p w:rsidR="008A7D39" w:rsidRDefault="008A7D39" w:rsidP="00A86FBB">
            <w:pPr>
              <w:pStyle w:val="ListParagraph"/>
              <w:spacing w:before="0" w:after="200" w:line="276" w:lineRule="auto"/>
              <w:ind w:left="0"/>
            </w:pPr>
            <w:r>
              <w:t xml:space="preserve">Head of School social drinks to start at 3pm. </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December 2018</w:t>
            </w:r>
          </w:p>
        </w:tc>
        <w:tc>
          <w:tcPr>
            <w:tcW w:w="1451"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rPr>
                <w:rFonts w:eastAsia="Times New Roman"/>
                <w:bCs/>
                <w:color w:val="000000"/>
                <w:lang w:eastAsia="en-GB"/>
              </w:rPr>
              <w:t>Head of School /  Head of School Administration</w:t>
            </w:r>
          </w:p>
        </w:tc>
        <w:tc>
          <w:tcPr>
            <w:tcW w:w="2362"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Athena SWAN 2018 survey statistics to improve.</w:t>
            </w:r>
          </w:p>
        </w:tc>
      </w:tr>
      <w:tr w:rsidR="008A7D39" w:rsidTr="00A86FBB">
        <w:trPr>
          <w:trHeight w:val="1064"/>
        </w:trPr>
        <w:tc>
          <w:tcPr>
            <w:tcW w:w="921" w:type="dxa"/>
            <w:tcBorders>
              <w:top w:val="single" w:sz="4" w:space="0" w:color="auto"/>
              <w:left w:val="single" w:sz="4" w:space="0" w:color="auto"/>
              <w:bottom w:val="single" w:sz="4" w:space="0" w:color="auto"/>
              <w:right w:val="single" w:sz="4" w:space="0" w:color="auto"/>
            </w:tcBorders>
            <w:shd w:val="clear" w:color="auto" w:fill="auto"/>
          </w:tcPr>
          <w:p w:rsidR="008A7D39" w:rsidRDefault="008A7D39" w:rsidP="00A86FBB">
            <w:pPr>
              <w:spacing w:before="0"/>
            </w:pPr>
            <w:r>
              <w:t>4.6.5</w:t>
            </w:r>
          </w:p>
        </w:tc>
        <w:tc>
          <w:tcPr>
            <w:tcW w:w="2450" w:type="dxa"/>
            <w:tcBorders>
              <w:top w:val="single" w:sz="4" w:space="0" w:color="auto"/>
              <w:left w:val="nil"/>
              <w:bottom w:val="single" w:sz="4" w:space="0" w:color="auto"/>
              <w:right w:val="single" w:sz="4" w:space="0" w:color="auto"/>
            </w:tcBorders>
            <w:shd w:val="clear" w:color="auto" w:fill="auto"/>
          </w:tcPr>
          <w:p w:rsidR="008A7D39" w:rsidRPr="00AB7551" w:rsidRDefault="008A7D39" w:rsidP="00A86FBB">
            <w:pPr>
              <w:spacing w:before="0" w:after="200" w:line="276" w:lineRule="auto"/>
              <w:rPr>
                <w:rFonts w:cs="Calibri"/>
              </w:rPr>
            </w:pPr>
            <w:r w:rsidRPr="00791062">
              <w:rPr>
                <w:rFonts w:cs="Calibri"/>
              </w:rPr>
              <w:t>Information regarding mentoring-</w:t>
            </w:r>
            <w:proofErr w:type="spellStart"/>
            <w:r w:rsidRPr="00791062">
              <w:rPr>
                <w:rFonts w:cs="Calibri"/>
              </w:rPr>
              <w:t>menteeing</w:t>
            </w:r>
            <w:proofErr w:type="spellEnd"/>
            <w:r w:rsidRPr="00791062">
              <w:rPr>
                <w:rFonts w:cs="Calibri"/>
              </w:rPr>
              <w:t xml:space="preserve"> opportunities for staff, including the Manchester Gold Scheme, will be disseminated through mailing list and links posted on the staff website.</w:t>
            </w:r>
          </w:p>
        </w:tc>
        <w:tc>
          <w:tcPr>
            <w:tcW w:w="2587"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To improve the visibility of female role models and allow for the development of staff.</w:t>
            </w:r>
          </w:p>
        </w:tc>
        <w:tc>
          <w:tcPr>
            <w:tcW w:w="3937" w:type="dxa"/>
            <w:tcBorders>
              <w:top w:val="single" w:sz="4" w:space="0" w:color="auto"/>
              <w:left w:val="nil"/>
              <w:bottom w:val="single" w:sz="4" w:space="0" w:color="auto"/>
              <w:right w:val="single" w:sz="4" w:space="0" w:color="auto"/>
            </w:tcBorders>
            <w:shd w:val="clear" w:color="auto" w:fill="auto"/>
          </w:tcPr>
          <w:p w:rsidR="008A7D39" w:rsidRDefault="008A7D39" w:rsidP="00A86FBB">
            <w:pPr>
              <w:pStyle w:val="ListParagraph"/>
              <w:spacing w:before="0" w:after="200" w:line="276" w:lineRule="auto"/>
              <w:ind w:left="0"/>
            </w:pPr>
            <w:r>
              <w:t>Information to be disseminated via mailing lists.</w:t>
            </w:r>
          </w:p>
          <w:p w:rsidR="008A7D39" w:rsidRDefault="008A7D39" w:rsidP="00A86FBB">
            <w:pPr>
              <w:pStyle w:val="ListParagraph"/>
              <w:spacing w:before="0" w:after="200" w:line="276" w:lineRule="auto"/>
              <w:ind w:left="0"/>
            </w:pPr>
            <w:r>
              <w:t>Links to be put on School website.</w:t>
            </w:r>
          </w:p>
        </w:tc>
        <w:tc>
          <w:tcPr>
            <w:tcW w:w="1236"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September 2018</w:t>
            </w:r>
          </w:p>
        </w:tc>
        <w:tc>
          <w:tcPr>
            <w:tcW w:w="1451" w:type="dxa"/>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rPr>
                <w:rFonts w:eastAsia="Times New Roman"/>
                <w:bCs/>
                <w:color w:val="000000"/>
                <w:lang w:eastAsia="en-GB"/>
              </w:rPr>
              <w:t>Head of School Administration</w:t>
            </w:r>
          </w:p>
        </w:tc>
        <w:tc>
          <w:tcPr>
            <w:tcW w:w="2362" w:type="dxa"/>
            <w:gridSpan w:val="2"/>
            <w:tcBorders>
              <w:top w:val="single" w:sz="4" w:space="0" w:color="auto"/>
              <w:left w:val="nil"/>
              <w:bottom w:val="single" w:sz="4" w:space="0" w:color="auto"/>
              <w:right w:val="single" w:sz="4" w:space="0" w:color="auto"/>
            </w:tcBorders>
            <w:shd w:val="clear" w:color="auto" w:fill="auto"/>
          </w:tcPr>
          <w:p w:rsidR="008A7D39" w:rsidRDefault="008A7D39" w:rsidP="00A86FBB">
            <w:pPr>
              <w:spacing w:before="0" w:after="200" w:line="276" w:lineRule="auto"/>
            </w:pPr>
            <w:r>
              <w:t>Increased number of female mentors in the School. Improved visibility of female role models.</w:t>
            </w:r>
          </w:p>
        </w:tc>
      </w:tr>
    </w:tbl>
    <w:p w:rsidR="00B877A6" w:rsidRDefault="00B877A6">
      <w:bookmarkStart w:id="0" w:name="_GoBack"/>
      <w:bookmarkEnd w:id="0"/>
    </w:p>
    <w:sectPr w:rsidR="00B877A6" w:rsidSect="008A7D3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3D4F"/>
    <w:multiLevelType w:val="hybridMultilevel"/>
    <w:tmpl w:val="662C28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2A4A41"/>
    <w:multiLevelType w:val="hybridMultilevel"/>
    <w:tmpl w:val="AE1A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193C85"/>
    <w:multiLevelType w:val="hybridMultilevel"/>
    <w:tmpl w:val="04D6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B4079D"/>
    <w:multiLevelType w:val="hybridMultilevel"/>
    <w:tmpl w:val="1E6A45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0F0959"/>
    <w:multiLevelType w:val="hybridMultilevel"/>
    <w:tmpl w:val="95DA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39"/>
    <w:rsid w:val="00474A99"/>
    <w:rsid w:val="008A7D39"/>
    <w:rsid w:val="00B87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7D39"/>
    <w:pPr>
      <w:spacing w:before="240" w:after="0" w:line="240" w:lineRule="atLeast"/>
    </w:pPr>
    <w:rPr>
      <w:rFonts w:ascii="Calibri" w:hAnsi="Calibri" w:cs="Times New Roman"/>
      <w:sz w:val="1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7D39"/>
    <w:pPr>
      <w:spacing w:before="240" w:after="0" w:line="240" w:lineRule="atLeast"/>
    </w:pPr>
    <w:rPr>
      <w:rFonts w:ascii="Calibri" w:hAnsi="Calibri" w:cs="Times New Roman"/>
      <w:sz w:val="1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3909</Words>
  <Characters>22283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Darien Rozentals</dc:creator>
  <cp:lastModifiedBy>Darien Rozentals</cp:lastModifiedBy>
  <cp:revision>1</cp:revision>
  <dcterms:created xsi:type="dcterms:W3CDTF">2018-09-13T08:42:00Z</dcterms:created>
  <dcterms:modified xsi:type="dcterms:W3CDTF">2018-09-13T08:42:00Z</dcterms:modified>
</cp:coreProperties>
</file>