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72" w:rsidRDefault="00497A72" w:rsidP="000D11AC">
      <w:pPr>
        <w:pStyle w:val="NoSpacing"/>
        <w:rPr>
          <w:sz w:val="28"/>
          <w:szCs w:val="28"/>
        </w:rPr>
      </w:pPr>
      <w:r w:rsidRPr="0061204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6FA5D37" wp14:editId="1DD6B357">
            <wp:simplePos x="0" y="0"/>
            <wp:positionH relativeFrom="column">
              <wp:posOffset>-316865</wp:posOffset>
            </wp:positionH>
            <wp:positionV relativeFrom="paragraph">
              <wp:posOffset>-412115</wp:posOffset>
            </wp:positionV>
            <wp:extent cx="1609725" cy="678815"/>
            <wp:effectExtent l="0" t="0" r="9525" b="6985"/>
            <wp:wrapNone/>
            <wp:docPr id="1" name="Picture 1" descr="1280px-UniOfManchest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80px-UniOfManchester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097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9C8" w:rsidRPr="000D11AC" w:rsidRDefault="00D409C8" w:rsidP="000D11AC">
      <w:pPr>
        <w:pStyle w:val="NoSpacing"/>
        <w:jc w:val="center"/>
        <w:rPr>
          <w:b/>
          <w:sz w:val="24"/>
          <w:szCs w:val="24"/>
        </w:rPr>
      </w:pPr>
      <w:r w:rsidRPr="000D11AC">
        <w:rPr>
          <w:b/>
          <w:sz w:val="24"/>
          <w:szCs w:val="24"/>
        </w:rPr>
        <w:t>School of Law</w:t>
      </w:r>
    </w:p>
    <w:p w:rsidR="00D409C8" w:rsidRPr="000D11AC" w:rsidRDefault="00D409C8" w:rsidP="000D11AC">
      <w:pPr>
        <w:pStyle w:val="NoSpacing"/>
        <w:jc w:val="center"/>
        <w:rPr>
          <w:b/>
          <w:sz w:val="24"/>
          <w:szCs w:val="24"/>
        </w:rPr>
      </w:pPr>
      <w:r w:rsidRPr="000D11AC">
        <w:rPr>
          <w:b/>
          <w:sz w:val="24"/>
          <w:szCs w:val="24"/>
        </w:rPr>
        <w:t xml:space="preserve">Welcome Week </w:t>
      </w:r>
      <w:r w:rsidR="00CC1244">
        <w:rPr>
          <w:b/>
          <w:sz w:val="24"/>
          <w:szCs w:val="24"/>
        </w:rPr>
        <w:t>September</w:t>
      </w:r>
      <w:r w:rsidR="001C58F6">
        <w:rPr>
          <w:b/>
          <w:sz w:val="24"/>
          <w:szCs w:val="24"/>
        </w:rPr>
        <w:t xml:space="preserve"> 201</w:t>
      </w:r>
      <w:r w:rsidR="0058431C">
        <w:rPr>
          <w:b/>
          <w:sz w:val="24"/>
          <w:szCs w:val="24"/>
        </w:rPr>
        <w:t>8</w:t>
      </w:r>
    </w:p>
    <w:p w:rsidR="00206AD8" w:rsidRPr="000D11AC" w:rsidRDefault="00D409C8" w:rsidP="000D11AC">
      <w:pPr>
        <w:pStyle w:val="NoSpacing"/>
        <w:jc w:val="center"/>
        <w:rPr>
          <w:b/>
          <w:sz w:val="24"/>
          <w:szCs w:val="24"/>
        </w:rPr>
      </w:pPr>
      <w:r w:rsidRPr="000D11AC">
        <w:rPr>
          <w:b/>
          <w:sz w:val="24"/>
          <w:szCs w:val="24"/>
        </w:rPr>
        <w:t>PGR INDUCTION FOR NEW PhD/MPhil STUDENTS</w:t>
      </w:r>
    </w:p>
    <w:p w:rsidR="000D11AC" w:rsidRPr="00133486" w:rsidRDefault="000D11AC" w:rsidP="000D11AC">
      <w:pPr>
        <w:pStyle w:val="NoSpacing"/>
        <w:jc w:val="both"/>
        <w:rPr>
          <w:sz w:val="16"/>
          <w:szCs w:val="16"/>
        </w:rPr>
      </w:pPr>
    </w:p>
    <w:p w:rsidR="00B71830" w:rsidRPr="000D11AC" w:rsidRDefault="00D409C8" w:rsidP="000D11AC">
      <w:pPr>
        <w:pStyle w:val="NoSpacing"/>
        <w:jc w:val="both"/>
      </w:pPr>
      <w:r w:rsidRPr="000D11AC">
        <w:t>Thank you for choosing to study your postgraduate research degree with our School and a huge welcome to you all.</w:t>
      </w:r>
      <w:r w:rsidR="00017580">
        <w:t xml:space="preserve"> </w:t>
      </w:r>
      <w:r w:rsidRPr="000D11AC">
        <w:t xml:space="preserve"> The School of Law has continued its dedication to high quality legal education for over 140 years, and will pass this expertise on to you over the course of your </w:t>
      </w:r>
      <w:r w:rsidR="009B2EB9" w:rsidRPr="000D11AC">
        <w:t xml:space="preserve">research </w:t>
      </w:r>
      <w:r w:rsidRPr="000D11AC">
        <w:t xml:space="preserve">degree. The welcome week activities are designed to give you a better understanding of the </w:t>
      </w:r>
      <w:r w:rsidR="00E451A9" w:rsidRPr="000D11AC">
        <w:t>research</w:t>
      </w:r>
      <w:r w:rsidRPr="000D11AC">
        <w:t xml:space="preserve"> programme and the options available to you, but mainly they are</w:t>
      </w:r>
      <w:r w:rsidR="00683868">
        <w:t xml:space="preserve"> designed to help you settle in.</w:t>
      </w:r>
    </w:p>
    <w:p w:rsidR="00C72968" w:rsidRDefault="00FA6CC2" w:rsidP="00D409C8">
      <w:pPr>
        <w:jc w:val="center"/>
      </w:pPr>
      <w:r w:rsidRPr="0061204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1A16C51" wp14:editId="68C5343E">
            <wp:simplePos x="0" y="0"/>
            <wp:positionH relativeFrom="column">
              <wp:posOffset>1489710</wp:posOffset>
            </wp:positionH>
            <wp:positionV relativeFrom="paragraph">
              <wp:posOffset>112395</wp:posOffset>
            </wp:positionV>
            <wp:extent cx="2345055" cy="1290955"/>
            <wp:effectExtent l="0" t="0" r="0" b="4445"/>
            <wp:wrapTight wrapText="bothSides">
              <wp:wrapPolygon edited="0">
                <wp:start x="0" y="0"/>
                <wp:lineTo x="0" y="21356"/>
                <wp:lineTo x="21407" y="21356"/>
                <wp:lineTo x="21407" y="0"/>
                <wp:lineTo x="0" y="0"/>
              </wp:wrapPolygon>
            </wp:wrapTight>
            <wp:docPr id="12" name="Picture 12" descr="http://www.russellgroup.ac.uk/uploads/UniMcrNew_DSC6852_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sellgroup.ac.uk/uploads/UniMcrNew_DSC6852_pan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9C8" w:rsidRDefault="00D409C8" w:rsidP="00D409C8">
      <w:pPr>
        <w:jc w:val="center"/>
      </w:pPr>
    </w:p>
    <w:p w:rsidR="00D409C8" w:rsidRDefault="00D409C8" w:rsidP="00D409C8">
      <w:pPr>
        <w:jc w:val="center"/>
      </w:pPr>
    </w:p>
    <w:p w:rsidR="00D409C8" w:rsidRDefault="00D409C8" w:rsidP="000D11AC">
      <w:pPr>
        <w:pStyle w:val="NoSpacing"/>
      </w:pPr>
    </w:p>
    <w:p w:rsidR="00D409C8" w:rsidRPr="000D11AC" w:rsidRDefault="00D409C8" w:rsidP="00D409C8">
      <w:pPr>
        <w:jc w:val="center"/>
      </w:pPr>
    </w:p>
    <w:p w:rsidR="00B71830" w:rsidRPr="00B45B8A" w:rsidRDefault="00B71830" w:rsidP="00017580">
      <w:pPr>
        <w:pStyle w:val="NoSpacing"/>
        <w:rPr>
          <w:sz w:val="16"/>
          <w:szCs w:val="16"/>
        </w:rPr>
      </w:pPr>
    </w:p>
    <w:p w:rsidR="00B71830" w:rsidRDefault="00B45B8A" w:rsidP="000175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Tuesday 18 September 2018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5244"/>
        <w:gridCol w:w="2586"/>
      </w:tblGrid>
      <w:tr w:rsidR="00B45B8A" w:rsidRPr="000D11AC" w:rsidTr="005F187C">
        <w:trPr>
          <w:trHeight w:val="359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0D11AC" w:rsidRDefault="00B45B8A" w:rsidP="005F187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Time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0D11AC" w:rsidRDefault="00B45B8A" w:rsidP="005F187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Event</w:t>
            </w:r>
          </w:p>
        </w:tc>
        <w:tc>
          <w:tcPr>
            <w:tcW w:w="2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0D11AC" w:rsidRDefault="00B45B8A" w:rsidP="005F187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Location</w:t>
            </w:r>
          </w:p>
        </w:tc>
      </w:tr>
      <w:tr w:rsidR="00B45B8A" w:rsidRPr="000D11AC" w:rsidTr="005F187C">
        <w:trPr>
          <w:trHeight w:val="359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0D11AC" w:rsidRDefault="00B45B8A" w:rsidP="005F187C">
            <w:pPr>
              <w:pStyle w:val="NoSpacing"/>
              <w:rPr>
                <w:bCs/>
              </w:rPr>
            </w:pPr>
            <w:r>
              <w:rPr>
                <w:bCs/>
              </w:rPr>
              <w:t>3:00pm – 6:00pm</w:t>
            </w:r>
            <w:r w:rsidRPr="000D11AC">
              <w:rPr>
                <w:bCs/>
              </w:rPr>
              <w:t xml:space="preserve"> 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B45B8A" w:rsidRDefault="00B45B8A" w:rsidP="005F187C">
            <w:pPr>
              <w:pStyle w:val="NoSpacing"/>
              <w:jc w:val="both"/>
              <w:rPr>
                <w:bCs/>
              </w:rPr>
            </w:pPr>
            <w:r w:rsidRPr="00B45B8A">
              <w:t>Faculty Induction (info to follow)</w:t>
            </w:r>
          </w:p>
        </w:tc>
        <w:tc>
          <w:tcPr>
            <w:tcW w:w="2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5B8A" w:rsidRPr="000D11AC" w:rsidRDefault="00B45B8A" w:rsidP="005F187C">
            <w:pPr>
              <w:pStyle w:val="NoSpacing"/>
              <w:jc w:val="center"/>
              <w:rPr>
                <w:bCs/>
              </w:rPr>
            </w:pPr>
            <w:r w:rsidRPr="00285106">
              <w:rPr>
                <w:bCs/>
              </w:rPr>
              <w:t>Whitworth Hall</w:t>
            </w:r>
          </w:p>
        </w:tc>
      </w:tr>
    </w:tbl>
    <w:p w:rsidR="00B45B8A" w:rsidRPr="00B45B8A" w:rsidRDefault="00B45B8A" w:rsidP="00017580">
      <w:pPr>
        <w:pStyle w:val="NoSpacing"/>
        <w:rPr>
          <w:sz w:val="16"/>
          <w:szCs w:val="16"/>
        </w:rPr>
      </w:pPr>
    </w:p>
    <w:p w:rsidR="00683868" w:rsidRDefault="00683868" w:rsidP="00017580">
      <w:pPr>
        <w:pStyle w:val="NoSpacing"/>
        <w:rPr>
          <w:b/>
          <w:sz w:val="28"/>
          <w:szCs w:val="28"/>
        </w:rPr>
      </w:pPr>
    </w:p>
    <w:p w:rsidR="00E451A9" w:rsidRDefault="00B45B8A" w:rsidP="00017580">
      <w:pPr>
        <w:pStyle w:val="NoSpacing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Wednesday 19</w:t>
      </w:r>
      <w:r w:rsidR="000D11AC" w:rsidRPr="00891E9D">
        <w:rPr>
          <w:b/>
          <w:sz w:val="28"/>
          <w:szCs w:val="28"/>
        </w:rPr>
        <w:t xml:space="preserve"> September</w:t>
      </w:r>
      <w:r w:rsidR="00891E9D" w:rsidRPr="00891E9D">
        <w:rPr>
          <w:b/>
          <w:sz w:val="28"/>
          <w:szCs w:val="28"/>
        </w:rPr>
        <w:t xml:space="preserve"> 201</w:t>
      </w:r>
      <w:r w:rsidR="0058431C">
        <w:rPr>
          <w:b/>
          <w:sz w:val="28"/>
          <w:szCs w:val="28"/>
        </w:rPr>
        <w:t>8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5245"/>
        <w:gridCol w:w="2444"/>
      </w:tblGrid>
      <w:tr w:rsidR="00D409C8" w:rsidRPr="000D11AC" w:rsidTr="000D49AB">
        <w:trPr>
          <w:trHeight w:val="359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683868" w:rsidRPr="000D11AC" w:rsidTr="000D49AB">
        <w:trPr>
          <w:trHeight w:val="339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83868" w:rsidRPr="000D11AC" w:rsidRDefault="00683868" w:rsidP="00B71830">
            <w:pPr>
              <w:pStyle w:val="NoSpacing"/>
              <w:rPr>
                <w:color w:val="000000"/>
                <w:kern w:val="28"/>
                <w14:cntxtAlts/>
              </w:rPr>
            </w:pPr>
            <w:r>
              <w:t>9:00am – 9:15am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83868" w:rsidRPr="000D11AC" w:rsidRDefault="00683868" w:rsidP="000D11AC">
            <w:pPr>
              <w:pStyle w:val="NoSpacing"/>
            </w:pPr>
            <w:r w:rsidRPr="000D11AC">
              <w:t>Collection of welcome packs and refreshments</w:t>
            </w:r>
          </w:p>
        </w:tc>
        <w:tc>
          <w:tcPr>
            <w:tcW w:w="2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285106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  <w:p w:rsidR="00683868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  <w:p w:rsidR="00683868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  <w:p w:rsidR="00683868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  <w:p w:rsidR="00683868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  <w:p w:rsidR="00683868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  <w:p w:rsidR="00683868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  <w:p w:rsidR="00683868" w:rsidRPr="00285106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  <w:r w:rsidRPr="00285106">
              <w:rPr>
                <w:kern w:val="28"/>
                <w14:cntxtAlts/>
              </w:rPr>
              <w:t>Williamson Building, room 4.08</w:t>
            </w:r>
          </w:p>
          <w:p w:rsidR="00683868" w:rsidRPr="00285106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</w:tc>
      </w:tr>
      <w:tr w:rsidR="00683868" w:rsidRPr="000D11AC" w:rsidTr="005E5BB0">
        <w:trPr>
          <w:trHeight w:val="367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B71830">
            <w:pPr>
              <w:pStyle w:val="NoSpacing"/>
            </w:pPr>
            <w:r>
              <w:t>9:15</w:t>
            </w:r>
            <w:r w:rsidRPr="000D11AC">
              <w:t>am</w:t>
            </w:r>
            <w:r>
              <w:t xml:space="preserve"> – 9:30</w:t>
            </w:r>
            <w:r w:rsidRPr="000D11AC">
              <w:t>am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A543FF" w:rsidRDefault="00683868" w:rsidP="00891E9D">
            <w:pPr>
              <w:pStyle w:val="NoSpacing"/>
            </w:pPr>
            <w:r>
              <w:t>Introduction to the PGR Office (TSSO)</w:t>
            </w:r>
          </w:p>
        </w:tc>
        <w:tc>
          <w:tcPr>
            <w:tcW w:w="2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285106" w:rsidRDefault="00683868" w:rsidP="00CC210E">
            <w:pPr>
              <w:pStyle w:val="NoSpacing"/>
              <w:jc w:val="center"/>
            </w:pPr>
          </w:p>
        </w:tc>
      </w:tr>
      <w:tr w:rsidR="00683868" w:rsidRPr="000D11AC" w:rsidTr="005E5BB0">
        <w:trPr>
          <w:trHeight w:val="367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Default="00683868" w:rsidP="00FE25D3">
            <w:pPr>
              <w:pStyle w:val="NoSpacing"/>
            </w:pPr>
            <w:r>
              <w:t>9:30am – 10:00am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A543FF" w:rsidRDefault="00683868" w:rsidP="001A3728">
            <w:pPr>
              <w:pStyle w:val="NoSpacing"/>
            </w:pPr>
            <w:r w:rsidRPr="00A543FF">
              <w:t xml:space="preserve">Expectations session,  led by School of Law </w:t>
            </w:r>
            <w:r>
              <w:t>Director of PGR Dr Aristea Koukiadaki</w:t>
            </w:r>
          </w:p>
        </w:tc>
        <w:tc>
          <w:tcPr>
            <w:tcW w:w="2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285106" w:rsidRDefault="00683868" w:rsidP="00CC210E">
            <w:pPr>
              <w:pStyle w:val="NoSpacing"/>
              <w:jc w:val="center"/>
            </w:pPr>
          </w:p>
        </w:tc>
      </w:tr>
      <w:tr w:rsidR="00683868" w:rsidRPr="000D11AC" w:rsidTr="005E5BB0">
        <w:trPr>
          <w:trHeight w:val="367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B71830">
            <w:pPr>
              <w:pStyle w:val="NoSpacing"/>
            </w:pPr>
            <w:r>
              <w:t>10:00am – 11:15am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Default="00683868" w:rsidP="000D49AB">
            <w:pPr>
              <w:pStyle w:val="NoSpacing"/>
            </w:pPr>
            <w:r>
              <w:t xml:space="preserve">Introduction to the BMJ  Programme (4.07) </w:t>
            </w:r>
          </w:p>
          <w:p w:rsidR="00683868" w:rsidRPr="000D11AC" w:rsidRDefault="00683868" w:rsidP="000D49AB">
            <w:pPr>
              <w:pStyle w:val="NoSpacing"/>
            </w:pPr>
            <w:r>
              <w:t xml:space="preserve">Introduction to Law and Criminology Programmes </w:t>
            </w:r>
            <w:r w:rsidRPr="00411654">
              <w:t>(4.08)</w:t>
            </w:r>
          </w:p>
        </w:tc>
        <w:tc>
          <w:tcPr>
            <w:tcW w:w="2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285106" w:rsidRDefault="00683868" w:rsidP="00CC210E">
            <w:pPr>
              <w:pStyle w:val="NoSpacing"/>
              <w:jc w:val="center"/>
            </w:pPr>
          </w:p>
        </w:tc>
      </w:tr>
      <w:tr w:rsidR="00683868" w:rsidRPr="000D11AC" w:rsidTr="005E5BB0">
        <w:trPr>
          <w:trHeight w:val="367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Default="00683868" w:rsidP="00B71830">
            <w:pPr>
              <w:pStyle w:val="NoSpacing"/>
            </w:pPr>
            <w:r>
              <w:t>11:15am – 12:15pm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Default="00683868" w:rsidP="000D11AC">
            <w:pPr>
              <w:pStyle w:val="NoSpacing"/>
            </w:pPr>
            <w:r w:rsidRPr="000D11AC">
              <w:rPr>
                <w:iCs/>
              </w:rPr>
              <w:t>Session with later year PhD students  “life as a  research student in the School of Law” – and  introduction to PGR administration</w:t>
            </w:r>
            <w:r>
              <w:rPr>
                <w:iCs/>
              </w:rPr>
              <w:t xml:space="preserve">  </w:t>
            </w:r>
          </w:p>
        </w:tc>
        <w:tc>
          <w:tcPr>
            <w:tcW w:w="2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285106" w:rsidRDefault="00683868" w:rsidP="00CC210E">
            <w:pPr>
              <w:pStyle w:val="NoSpacing"/>
              <w:jc w:val="center"/>
            </w:pPr>
          </w:p>
        </w:tc>
      </w:tr>
      <w:tr w:rsidR="00683868" w:rsidRPr="000D11AC" w:rsidTr="005E5BB0">
        <w:trPr>
          <w:trHeight w:val="367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B45B8A">
            <w:pPr>
              <w:pStyle w:val="NoSpacing"/>
            </w:pPr>
            <w:r>
              <w:t>12:15</w:t>
            </w:r>
            <w:r w:rsidRPr="000D11AC">
              <w:t>pm</w:t>
            </w:r>
            <w:r>
              <w:t xml:space="preserve"> – 1:15</w:t>
            </w:r>
            <w:r w:rsidRPr="000D11AC">
              <w:t>pm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0D11AC">
            <w:pPr>
              <w:pStyle w:val="NoSpacing"/>
            </w:pPr>
            <w:r w:rsidRPr="000D11AC">
              <w:t>Buffet Lunch</w:t>
            </w:r>
          </w:p>
        </w:tc>
        <w:tc>
          <w:tcPr>
            <w:tcW w:w="2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2D69B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285106" w:rsidRDefault="00683868" w:rsidP="00CC210E">
            <w:pPr>
              <w:pStyle w:val="NoSpacing"/>
              <w:jc w:val="center"/>
            </w:pPr>
          </w:p>
        </w:tc>
      </w:tr>
      <w:tr w:rsidR="00683868" w:rsidRPr="000D11AC" w:rsidTr="005E5BB0">
        <w:trPr>
          <w:trHeight w:val="367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B45B8A">
            <w:pPr>
              <w:pStyle w:val="NoSpacing"/>
            </w:pPr>
            <w:r>
              <w:t>1:15pm – 1:45pm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B71830">
            <w:pPr>
              <w:pStyle w:val="NoSpacing"/>
            </w:pPr>
            <w:r>
              <w:t xml:space="preserve">Library Session </w:t>
            </w:r>
          </w:p>
        </w:tc>
        <w:tc>
          <w:tcPr>
            <w:tcW w:w="2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2D69B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285106" w:rsidRDefault="00683868" w:rsidP="00CC210E">
            <w:pPr>
              <w:pStyle w:val="NoSpacing"/>
              <w:jc w:val="center"/>
            </w:pPr>
          </w:p>
        </w:tc>
      </w:tr>
      <w:tr w:rsidR="00683868" w:rsidRPr="000D11AC" w:rsidTr="005E5BB0">
        <w:trPr>
          <w:trHeight w:val="367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Default="00683868" w:rsidP="00B45B8A">
            <w:pPr>
              <w:pStyle w:val="NoSpacing"/>
            </w:pPr>
            <w:r>
              <w:t>1:45pm- 2:15pm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Default="00683868" w:rsidP="00B71830">
            <w:pPr>
              <w:pStyle w:val="NoSpacing"/>
            </w:pPr>
            <w:r>
              <w:t xml:space="preserve">Introduction to </w:t>
            </w:r>
            <w:proofErr w:type="spellStart"/>
            <w:r>
              <w:t>eProg</w:t>
            </w:r>
            <w:proofErr w:type="spellEnd"/>
          </w:p>
        </w:tc>
        <w:tc>
          <w:tcPr>
            <w:tcW w:w="24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285106" w:rsidRDefault="00683868" w:rsidP="00CC210E">
            <w:pPr>
              <w:pStyle w:val="NoSpacing"/>
              <w:jc w:val="center"/>
              <w:rPr>
                <w:kern w:val="28"/>
                <w14:cntxtAlts/>
              </w:rPr>
            </w:pPr>
          </w:p>
        </w:tc>
      </w:tr>
      <w:tr w:rsidR="00891E9D" w:rsidRPr="000D11AC" w:rsidTr="000D49AB">
        <w:trPr>
          <w:trHeight w:val="367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1E9D" w:rsidRDefault="00B5269F" w:rsidP="00B45B8A">
            <w:pPr>
              <w:pStyle w:val="NoSpacing"/>
            </w:pPr>
            <w:r>
              <w:t>2:</w:t>
            </w:r>
            <w:r w:rsidR="00B45B8A">
              <w:t>15</w:t>
            </w:r>
            <w:r>
              <w:t>pm-3:</w:t>
            </w:r>
            <w:r w:rsidR="00B45B8A">
              <w:t>15</w:t>
            </w:r>
            <w:r>
              <w:t>pm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1E9D" w:rsidRDefault="00891E9D" w:rsidP="000D11AC">
            <w:pPr>
              <w:pStyle w:val="NoSpacing"/>
            </w:pPr>
            <w:r w:rsidRPr="000D11AC">
              <w:rPr>
                <w:iCs/>
              </w:rPr>
              <w:t>F</w:t>
            </w:r>
            <w:r w:rsidRPr="000D11AC">
              <w:t>irst formal meetings with PhD/MPhil supervisors in the School of Law</w:t>
            </w:r>
          </w:p>
        </w:tc>
        <w:tc>
          <w:tcPr>
            <w:tcW w:w="2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1E9D" w:rsidRPr="00285106" w:rsidRDefault="006B4E3E" w:rsidP="00CC210E">
            <w:pPr>
              <w:pStyle w:val="NoSpacing"/>
              <w:jc w:val="center"/>
            </w:pPr>
            <w:r w:rsidRPr="00285106">
              <w:t xml:space="preserve">Individual Academic Offices </w:t>
            </w:r>
          </w:p>
        </w:tc>
      </w:tr>
    </w:tbl>
    <w:p w:rsidR="000D11AC" w:rsidRDefault="000D11AC" w:rsidP="000D11AC">
      <w:pPr>
        <w:pStyle w:val="NoSpacing"/>
        <w:rPr>
          <w:sz w:val="16"/>
          <w:szCs w:val="16"/>
        </w:rPr>
      </w:pPr>
    </w:p>
    <w:p w:rsidR="00683868" w:rsidRDefault="00683868" w:rsidP="000D11AC">
      <w:pPr>
        <w:pStyle w:val="NoSpacing"/>
        <w:rPr>
          <w:b/>
          <w:sz w:val="28"/>
          <w:szCs w:val="28"/>
        </w:rPr>
      </w:pPr>
    </w:p>
    <w:p w:rsidR="008B6C8C" w:rsidRDefault="00B138C7" w:rsidP="000D11AC">
      <w:pPr>
        <w:pStyle w:val="NoSpacing"/>
        <w:rPr>
          <w:b/>
          <w:sz w:val="28"/>
          <w:szCs w:val="28"/>
        </w:rPr>
      </w:pPr>
      <w:r w:rsidRPr="00285106">
        <w:rPr>
          <w:b/>
          <w:sz w:val="28"/>
          <w:szCs w:val="28"/>
        </w:rPr>
        <w:lastRenderedPageBreak/>
        <w:t>Thursday 2</w:t>
      </w:r>
      <w:r w:rsidR="0058431C" w:rsidRPr="00285106">
        <w:rPr>
          <w:b/>
          <w:sz w:val="28"/>
          <w:szCs w:val="28"/>
        </w:rPr>
        <w:t>0</w:t>
      </w:r>
      <w:r w:rsidR="00FA6CC2" w:rsidRPr="00285106">
        <w:rPr>
          <w:b/>
          <w:sz w:val="28"/>
          <w:szCs w:val="28"/>
        </w:rPr>
        <w:t xml:space="preserve"> </w:t>
      </w:r>
      <w:r w:rsidR="000D11AC" w:rsidRPr="00285106">
        <w:rPr>
          <w:b/>
          <w:sz w:val="28"/>
          <w:szCs w:val="28"/>
        </w:rPr>
        <w:t>September</w:t>
      </w:r>
      <w:r w:rsidR="00FA6CC2" w:rsidRPr="00285106">
        <w:rPr>
          <w:b/>
          <w:sz w:val="28"/>
          <w:szCs w:val="28"/>
        </w:rPr>
        <w:t xml:space="preserve"> 201</w:t>
      </w:r>
      <w:r w:rsidR="0058431C" w:rsidRPr="00285106">
        <w:rPr>
          <w:b/>
          <w:sz w:val="28"/>
          <w:szCs w:val="28"/>
        </w:rPr>
        <w:t>8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5244"/>
        <w:gridCol w:w="2586"/>
      </w:tblGrid>
      <w:tr w:rsidR="008B6C8C" w:rsidRPr="000D11AC" w:rsidTr="004A2A4D">
        <w:trPr>
          <w:trHeight w:val="359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B6C8C" w:rsidRPr="000D11AC" w:rsidRDefault="008B6C8C" w:rsidP="000D11A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Time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B6C8C" w:rsidRPr="000D11AC" w:rsidRDefault="008B6C8C" w:rsidP="000D11A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Event</w:t>
            </w:r>
          </w:p>
        </w:tc>
        <w:tc>
          <w:tcPr>
            <w:tcW w:w="2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B6C8C" w:rsidRPr="000D11AC" w:rsidRDefault="008B6C8C" w:rsidP="000D11A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Location</w:t>
            </w:r>
          </w:p>
        </w:tc>
      </w:tr>
      <w:tr w:rsidR="008B6C8C" w:rsidRPr="000D11AC" w:rsidTr="00EB0D63">
        <w:trPr>
          <w:trHeight w:val="359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B6C8C" w:rsidRPr="000D11AC" w:rsidRDefault="00B138C7" w:rsidP="00B138C7">
            <w:pPr>
              <w:pStyle w:val="NoSpacing"/>
              <w:rPr>
                <w:bCs/>
              </w:rPr>
            </w:pPr>
            <w:r>
              <w:rPr>
                <w:bCs/>
              </w:rPr>
              <w:t>2.00pm – 4.00pm</w:t>
            </w:r>
            <w:r w:rsidR="00FA6CC2" w:rsidRPr="000D11AC">
              <w:rPr>
                <w:bCs/>
              </w:rPr>
              <w:t xml:space="preserve"> 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B6C8C" w:rsidRDefault="000D3195" w:rsidP="00017580">
            <w:pPr>
              <w:pStyle w:val="NoSpacing"/>
              <w:jc w:val="both"/>
            </w:pPr>
            <w:r w:rsidRPr="00736DAF">
              <w:rPr>
                <w:b/>
              </w:rPr>
              <w:t xml:space="preserve">Admissions document checking for Tier-4 students </w:t>
            </w:r>
            <w:r>
              <w:rPr>
                <w:b/>
              </w:rPr>
              <w:t xml:space="preserve">- </w:t>
            </w:r>
            <w:r>
              <w:t>(ONLY attend this session if you have received an email from the Recruitment and Admissions Team stating which documents you need to bring).</w:t>
            </w:r>
          </w:p>
          <w:p w:rsidR="00FE25D3" w:rsidRDefault="00FE25D3" w:rsidP="00017580">
            <w:pPr>
              <w:pStyle w:val="NoSpacing"/>
              <w:jc w:val="both"/>
            </w:pPr>
          </w:p>
          <w:p w:rsidR="00FE25D3" w:rsidRPr="000D11AC" w:rsidRDefault="00FE25D3" w:rsidP="00017580">
            <w:pPr>
              <w:pStyle w:val="NoSpacing"/>
              <w:jc w:val="both"/>
              <w:rPr>
                <w:bCs/>
              </w:rPr>
            </w:pPr>
            <w:r>
              <w:t>(Admission Office)</w:t>
            </w:r>
          </w:p>
        </w:tc>
        <w:tc>
          <w:tcPr>
            <w:tcW w:w="2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B6C8C" w:rsidRPr="000D11AC" w:rsidRDefault="005D18C2" w:rsidP="00EB0D63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3.51b Williamson Building (Recruitment and Admissions Office)</w:t>
            </w:r>
          </w:p>
        </w:tc>
      </w:tr>
    </w:tbl>
    <w:p w:rsidR="00133486" w:rsidRDefault="00133486" w:rsidP="000D11AC">
      <w:pPr>
        <w:pStyle w:val="NoSpacing"/>
        <w:rPr>
          <w:rStyle w:val="Strong"/>
          <w:rFonts w:cs="Arial"/>
          <w:sz w:val="28"/>
          <w:szCs w:val="28"/>
        </w:rPr>
      </w:pPr>
    </w:p>
    <w:p w:rsidR="00B5269F" w:rsidRDefault="00B5269F" w:rsidP="009175DC">
      <w:pPr>
        <w:spacing w:after="0" w:line="240" w:lineRule="auto"/>
        <w:rPr>
          <w:rFonts w:cs="Arial"/>
          <w:b/>
          <w:sz w:val="28"/>
          <w:szCs w:val="28"/>
        </w:rPr>
      </w:pPr>
    </w:p>
    <w:p w:rsidR="009175DC" w:rsidRPr="00285106" w:rsidRDefault="009175DC" w:rsidP="009175DC">
      <w:pPr>
        <w:spacing w:after="0" w:line="240" w:lineRule="auto"/>
        <w:rPr>
          <w:rFonts w:cs="Arial"/>
          <w:b/>
          <w:sz w:val="28"/>
          <w:szCs w:val="28"/>
        </w:rPr>
      </w:pPr>
      <w:r w:rsidRPr="00285106">
        <w:rPr>
          <w:rFonts w:cs="Arial"/>
          <w:b/>
          <w:sz w:val="28"/>
          <w:szCs w:val="28"/>
        </w:rPr>
        <w:t xml:space="preserve">Wednesday </w:t>
      </w:r>
      <w:r w:rsidR="00BB380C" w:rsidRPr="00285106">
        <w:rPr>
          <w:rFonts w:cs="Arial"/>
          <w:b/>
          <w:sz w:val="28"/>
          <w:szCs w:val="28"/>
        </w:rPr>
        <w:t>1</w:t>
      </w:r>
      <w:r w:rsidR="00B45B8A" w:rsidRPr="00285106">
        <w:rPr>
          <w:rFonts w:cs="Arial"/>
          <w:b/>
          <w:sz w:val="28"/>
          <w:szCs w:val="28"/>
        </w:rPr>
        <w:t>7</w:t>
      </w:r>
      <w:r w:rsidRPr="00285106">
        <w:rPr>
          <w:rFonts w:cs="Arial"/>
          <w:b/>
          <w:sz w:val="28"/>
          <w:szCs w:val="28"/>
        </w:rPr>
        <w:t xml:space="preserve"> October 201</w:t>
      </w:r>
      <w:r w:rsidR="0058431C" w:rsidRPr="00285106">
        <w:rPr>
          <w:rFonts w:cs="Arial"/>
          <w:b/>
          <w:sz w:val="28"/>
          <w:szCs w:val="28"/>
        </w:rPr>
        <w:t>8</w:t>
      </w:r>
    </w:p>
    <w:p w:rsidR="009175DC" w:rsidRPr="009175DC" w:rsidRDefault="009175DC" w:rsidP="00B45B8A">
      <w:pPr>
        <w:jc w:val="both"/>
        <w:rPr>
          <w:rFonts w:cs="Arial"/>
        </w:rPr>
      </w:pPr>
      <w:r w:rsidRPr="00285106">
        <w:rPr>
          <w:rFonts w:cs="Arial"/>
        </w:rPr>
        <w:t>The School of Law hosts an Annual PGR Conference which all current students should attend. This year’s conference, which is a full-day event</w:t>
      </w:r>
      <w:r w:rsidR="00BB380C" w:rsidRPr="00285106">
        <w:rPr>
          <w:rFonts w:cs="Arial"/>
        </w:rPr>
        <w:t>, will take place on Wednesday 1</w:t>
      </w:r>
      <w:r w:rsidR="0058431C" w:rsidRPr="00285106">
        <w:rPr>
          <w:rFonts w:cs="Arial"/>
        </w:rPr>
        <w:t>7</w:t>
      </w:r>
      <w:r w:rsidRPr="00285106">
        <w:rPr>
          <w:rFonts w:cs="Arial"/>
        </w:rPr>
        <w:t xml:space="preserve"> October 201</w:t>
      </w:r>
      <w:r w:rsidR="0058431C" w:rsidRPr="00285106">
        <w:rPr>
          <w:rFonts w:cs="Arial"/>
        </w:rPr>
        <w:t>8</w:t>
      </w:r>
      <w:r w:rsidRPr="00285106">
        <w:rPr>
          <w:rFonts w:cs="Arial"/>
        </w:rPr>
        <w:t>. The</w:t>
      </w:r>
      <w:r w:rsidRPr="009175DC">
        <w:rPr>
          <w:rFonts w:cs="Arial"/>
        </w:rPr>
        <w:t xml:space="preserve"> conference will take place at Barnes Wallis, The University of Manchester.</w:t>
      </w:r>
    </w:p>
    <w:p w:rsidR="009175DC" w:rsidRDefault="009175DC" w:rsidP="00B45B8A">
      <w:pPr>
        <w:jc w:val="both"/>
      </w:pPr>
      <w:r w:rsidRPr="009175DC">
        <w:rPr>
          <w:rFonts w:cs="Arial"/>
        </w:rPr>
        <w:t xml:space="preserve">Information about the conference is available on the School website and will be updated with more information leading up to the event: </w:t>
      </w:r>
      <w:hyperlink r:id="rId10" w:history="1">
        <w:r w:rsidR="00510255" w:rsidRPr="00165996">
          <w:rPr>
            <w:rStyle w:val="Hyperlink"/>
          </w:rPr>
          <w:t>http://www.humanities.manchester.ac.uk/pgr-handbook-law/connect/events/</w:t>
        </w:r>
      </w:hyperlink>
      <w:r w:rsidR="00510255">
        <w:t xml:space="preserve"> </w:t>
      </w:r>
    </w:p>
    <w:p w:rsidR="009175DC" w:rsidRDefault="009175DC" w:rsidP="009175DC">
      <w:r w:rsidRPr="009175DC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16E4701" wp14:editId="7EA6945A">
            <wp:simplePos x="0" y="0"/>
            <wp:positionH relativeFrom="column">
              <wp:posOffset>4388485</wp:posOffset>
            </wp:positionH>
            <wp:positionV relativeFrom="paragraph">
              <wp:posOffset>116205</wp:posOffset>
            </wp:positionV>
            <wp:extent cx="1920875" cy="1395095"/>
            <wp:effectExtent l="0" t="0" r="3175" b="0"/>
            <wp:wrapNone/>
            <wp:docPr id="3" name="Picture 19" descr="Welcome3-460x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Welcome3-460x3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5DC">
        <w:rPr>
          <w:noProof/>
          <w:lang w:eastAsia="en-GB"/>
        </w:rPr>
        <w:drawing>
          <wp:anchor distT="36576" distB="36576" distL="36576" distR="36576" simplePos="0" relativeHeight="251664384" behindDoc="0" locked="0" layoutInCell="1" allowOverlap="1" wp14:anchorId="5096378E" wp14:editId="2DDE29B0">
            <wp:simplePos x="0" y="0"/>
            <wp:positionH relativeFrom="column">
              <wp:posOffset>-413385</wp:posOffset>
            </wp:positionH>
            <wp:positionV relativeFrom="paragraph">
              <wp:posOffset>114300</wp:posOffset>
            </wp:positionV>
            <wp:extent cx="1887220" cy="1390650"/>
            <wp:effectExtent l="0" t="0" r="0" b="0"/>
            <wp:wrapNone/>
            <wp:docPr id="2" name="Picture 2" descr="Welcome4-460x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elcome4-460x3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5DC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F445AA8" wp14:editId="0C56C251">
            <wp:simplePos x="0" y="0"/>
            <wp:positionH relativeFrom="column">
              <wp:posOffset>1912620</wp:posOffset>
            </wp:positionH>
            <wp:positionV relativeFrom="paragraph">
              <wp:posOffset>112395</wp:posOffset>
            </wp:positionV>
            <wp:extent cx="2112645" cy="1410970"/>
            <wp:effectExtent l="0" t="0" r="190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5DC" w:rsidRDefault="009175DC" w:rsidP="009175DC"/>
    <w:p w:rsidR="009175DC" w:rsidRDefault="009175DC" w:rsidP="009175DC">
      <w:pPr>
        <w:spacing w:after="0" w:line="240" w:lineRule="auto"/>
        <w:rPr>
          <w:rStyle w:val="Strong"/>
          <w:rFonts w:ascii="Arial" w:hAnsi="Arial"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  <w:sz w:val="28"/>
          <w:szCs w:val="28"/>
        </w:rPr>
      </w:pPr>
      <w:r w:rsidRPr="009175DC">
        <w:rPr>
          <w:rStyle w:val="Strong"/>
          <w:rFonts w:cs="Arial"/>
          <w:sz w:val="28"/>
          <w:szCs w:val="28"/>
        </w:rPr>
        <w:t>PGR – IND001 PGR HEALTH AND SAFETY INDUCTION MANDATORY MODULE 1</w:t>
      </w:r>
    </w:p>
    <w:p w:rsidR="009175DC" w:rsidRPr="00B71830" w:rsidRDefault="009175DC" w:rsidP="009175DC">
      <w:pPr>
        <w:spacing w:after="0" w:line="240" w:lineRule="auto"/>
        <w:rPr>
          <w:rStyle w:val="Strong"/>
          <w:rFonts w:cs="Arial"/>
          <w:b w:val="0"/>
        </w:rPr>
      </w:pPr>
    </w:p>
    <w:p w:rsidR="009175DC" w:rsidRPr="009175DC" w:rsidRDefault="009175DC" w:rsidP="00B45B8A">
      <w:pPr>
        <w:spacing w:after="0" w:line="240" w:lineRule="auto"/>
        <w:jc w:val="both"/>
        <w:rPr>
          <w:rFonts w:cs="Arial"/>
        </w:rPr>
      </w:pPr>
      <w:r w:rsidRPr="009175DC">
        <w:rPr>
          <w:rFonts w:cs="Arial"/>
        </w:rPr>
        <w:t>All new students and staff at the University of Manchester are required to complete a health and safety course. It is delivered online by the University’s Health &amp; Safety Services. The course delivers basic information about how health &amp; safety is managed at the University, and includes some simple tests to assess learning outcomes.</w:t>
      </w:r>
    </w:p>
    <w:p w:rsidR="009175DC" w:rsidRPr="009175DC" w:rsidRDefault="009175DC" w:rsidP="00B45B8A">
      <w:pPr>
        <w:spacing w:after="0" w:line="240" w:lineRule="auto"/>
        <w:jc w:val="both"/>
        <w:rPr>
          <w:rFonts w:cs="Arial"/>
        </w:rPr>
      </w:pPr>
    </w:p>
    <w:p w:rsidR="009175DC" w:rsidRPr="009175DC" w:rsidRDefault="009175DC" w:rsidP="00B45B8A">
      <w:pPr>
        <w:spacing w:after="0" w:line="240" w:lineRule="auto"/>
        <w:jc w:val="both"/>
        <w:rPr>
          <w:rStyle w:val="Hyperlink"/>
          <w:rFonts w:cs="Arial"/>
        </w:rPr>
      </w:pPr>
      <w:r w:rsidRPr="009175DC">
        <w:rPr>
          <w:rFonts w:cs="Arial"/>
        </w:rPr>
        <w:t xml:space="preserve">You will automatically be enrolled on this course unit which is delivered through </w:t>
      </w:r>
      <w:r w:rsidRPr="009175DC">
        <w:t xml:space="preserve">your </w:t>
      </w:r>
      <w:proofErr w:type="spellStart"/>
      <w:r w:rsidRPr="009175DC">
        <w:t>eProg</w:t>
      </w:r>
      <w:proofErr w:type="spellEnd"/>
      <w:r w:rsidRPr="009175DC">
        <w:t xml:space="preserve"> progression page </w:t>
      </w:r>
      <w:r w:rsidRPr="009175DC">
        <w:rPr>
          <w:rStyle w:val="A10"/>
          <w:rFonts w:asciiTheme="minorHAnsi" w:hAnsiTheme="minorHAnsi" w:cs="Arial"/>
        </w:rPr>
        <w:t xml:space="preserve">which can be accessed via </w:t>
      </w:r>
      <w:hyperlink r:id="rId14" w:history="1">
        <w:r w:rsidRPr="009175DC">
          <w:rPr>
            <w:rStyle w:val="Hyperlink"/>
            <w:rFonts w:cs="Arial"/>
          </w:rPr>
          <w:t>http://my.manchester.ac.uk/</w:t>
        </w:r>
      </w:hyperlink>
    </w:p>
    <w:p w:rsidR="009175DC" w:rsidRPr="009175DC" w:rsidRDefault="009175DC" w:rsidP="00B45B8A">
      <w:pPr>
        <w:spacing w:after="0" w:line="240" w:lineRule="auto"/>
        <w:jc w:val="both"/>
        <w:rPr>
          <w:rStyle w:val="A10"/>
          <w:rFonts w:asciiTheme="minorHAnsi" w:hAnsiTheme="minorHAnsi" w:cs="Arial"/>
        </w:rPr>
      </w:pPr>
    </w:p>
    <w:p w:rsidR="009175DC" w:rsidRPr="001A3728" w:rsidRDefault="009175DC" w:rsidP="00B45B8A">
      <w:pPr>
        <w:spacing w:after="0" w:line="240" w:lineRule="auto"/>
        <w:jc w:val="both"/>
        <w:rPr>
          <w:rFonts w:cs="Arial"/>
        </w:rPr>
      </w:pPr>
      <w:r w:rsidRPr="001A3728">
        <w:rPr>
          <w:rFonts w:cs="Arial"/>
        </w:rPr>
        <w:t>It will take you approximately 1 hour to complete. You are expected to complete the course and obtain a "pass" within the first two weeks of the formal registration/welcome period (week commencing Monday 1</w:t>
      </w:r>
      <w:r w:rsidR="0058431C" w:rsidRPr="001A3728">
        <w:rPr>
          <w:rFonts w:cs="Arial"/>
        </w:rPr>
        <w:t>7</w:t>
      </w:r>
      <w:r w:rsidRPr="001A3728">
        <w:rPr>
          <w:rFonts w:cs="Arial"/>
        </w:rPr>
        <w:t xml:space="preserve"> September 201</w:t>
      </w:r>
      <w:r w:rsidR="0058431C" w:rsidRPr="001A3728">
        <w:rPr>
          <w:rFonts w:cs="Arial"/>
        </w:rPr>
        <w:t>8</w:t>
      </w:r>
      <w:r w:rsidRPr="001A3728">
        <w:rPr>
          <w:rFonts w:cs="Arial"/>
        </w:rPr>
        <w:t>).</w:t>
      </w:r>
    </w:p>
    <w:p w:rsidR="009175DC" w:rsidRPr="001A3728" w:rsidRDefault="009175DC" w:rsidP="00B45B8A">
      <w:pPr>
        <w:spacing w:after="0" w:line="240" w:lineRule="auto"/>
        <w:jc w:val="both"/>
        <w:rPr>
          <w:rFonts w:cs="Arial"/>
        </w:rPr>
      </w:pPr>
    </w:p>
    <w:p w:rsidR="009175DC" w:rsidRPr="00B71830" w:rsidRDefault="009175DC" w:rsidP="00B45B8A">
      <w:pPr>
        <w:spacing w:after="0" w:line="240" w:lineRule="auto"/>
        <w:jc w:val="both"/>
        <w:rPr>
          <w:rStyle w:val="Strong"/>
          <w:rFonts w:cs="Arial"/>
          <w:b w:val="0"/>
          <w:bCs w:val="0"/>
        </w:rPr>
      </w:pPr>
      <w:r w:rsidRPr="001A3728">
        <w:rPr>
          <w:rFonts w:cs="Arial"/>
        </w:rPr>
        <w:t>The good news is that you don’t need to wait until you arrive on campus to complete the course. You can complete it once you have registered (On-line registration will be available from 1 September 201</w:t>
      </w:r>
      <w:r w:rsidR="0058431C" w:rsidRPr="001A3728">
        <w:rPr>
          <w:rFonts w:cs="Arial"/>
        </w:rPr>
        <w:t>8</w:t>
      </w:r>
      <w:r w:rsidRPr="001A3728">
        <w:rPr>
          <w:rFonts w:cs="Arial"/>
        </w:rPr>
        <w:t>). We would advise you to complete this unit as soon as you register so that you are free to concentrate on your other induction activities.</w:t>
      </w:r>
    </w:p>
    <w:sectPr w:rsidR="009175DC" w:rsidRPr="00B71830" w:rsidSect="000D11A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67" w:rsidRDefault="00455067" w:rsidP="00455067">
      <w:pPr>
        <w:spacing w:after="0" w:line="240" w:lineRule="auto"/>
      </w:pPr>
      <w:r>
        <w:separator/>
      </w:r>
    </w:p>
  </w:endnote>
  <w:endnote w:type="continuationSeparator" w:id="0">
    <w:p w:rsidR="00455067" w:rsidRDefault="00455067" w:rsidP="004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67" w:rsidRDefault="00455067" w:rsidP="00455067">
      <w:pPr>
        <w:spacing w:after="0" w:line="240" w:lineRule="auto"/>
      </w:pPr>
      <w:r>
        <w:separator/>
      </w:r>
    </w:p>
  </w:footnote>
  <w:footnote w:type="continuationSeparator" w:id="0">
    <w:p w:rsidR="00455067" w:rsidRDefault="00455067" w:rsidP="00455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C8"/>
    <w:rsid w:val="00017580"/>
    <w:rsid w:val="00036899"/>
    <w:rsid w:val="000A2447"/>
    <w:rsid w:val="000D11AC"/>
    <w:rsid w:val="000D3195"/>
    <w:rsid w:val="000D49AB"/>
    <w:rsid w:val="000F7CB3"/>
    <w:rsid w:val="001123EE"/>
    <w:rsid w:val="00133486"/>
    <w:rsid w:val="00183359"/>
    <w:rsid w:val="00184BB7"/>
    <w:rsid w:val="001A3728"/>
    <w:rsid w:val="001C58F6"/>
    <w:rsid w:val="00206AD8"/>
    <w:rsid w:val="00285106"/>
    <w:rsid w:val="002D248B"/>
    <w:rsid w:val="002D5A4D"/>
    <w:rsid w:val="00401781"/>
    <w:rsid w:val="00411654"/>
    <w:rsid w:val="004161EE"/>
    <w:rsid w:val="00455067"/>
    <w:rsid w:val="00497A72"/>
    <w:rsid w:val="004A2A4D"/>
    <w:rsid w:val="004B7F5D"/>
    <w:rsid w:val="004D40D9"/>
    <w:rsid w:val="00510255"/>
    <w:rsid w:val="00576CAC"/>
    <w:rsid w:val="005839A2"/>
    <w:rsid w:val="0058431C"/>
    <w:rsid w:val="005D18C2"/>
    <w:rsid w:val="00683868"/>
    <w:rsid w:val="006B4E3E"/>
    <w:rsid w:val="006C4B76"/>
    <w:rsid w:val="00786B73"/>
    <w:rsid w:val="00787E74"/>
    <w:rsid w:val="0079706D"/>
    <w:rsid w:val="007E756F"/>
    <w:rsid w:val="00813CC3"/>
    <w:rsid w:val="00846D81"/>
    <w:rsid w:val="00891E9D"/>
    <w:rsid w:val="008B6C8C"/>
    <w:rsid w:val="009175DC"/>
    <w:rsid w:val="009403F6"/>
    <w:rsid w:val="00967FE7"/>
    <w:rsid w:val="009B2EB9"/>
    <w:rsid w:val="009F3146"/>
    <w:rsid w:val="00A531A2"/>
    <w:rsid w:val="00A543FF"/>
    <w:rsid w:val="00A70494"/>
    <w:rsid w:val="00B11C79"/>
    <w:rsid w:val="00B138C7"/>
    <w:rsid w:val="00B45B8A"/>
    <w:rsid w:val="00B5269F"/>
    <w:rsid w:val="00B71830"/>
    <w:rsid w:val="00BB380C"/>
    <w:rsid w:val="00BF5DFC"/>
    <w:rsid w:val="00C01F6E"/>
    <w:rsid w:val="00C51B0A"/>
    <w:rsid w:val="00C72968"/>
    <w:rsid w:val="00CC1244"/>
    <w:rsid w:val="00CC210E"/>
    <w:rsid w:val="00CC526D"/>
    <w:rsid w:val="00D2657A"/>
    <w:rsid w:val="00D409C8"/>
    <w:rsid w:val="00DF1896"/>
    <w:rsid w:val="00DF66A2"/>
    <w:rsid w:val="00E451A9"/>
    <w:rsid w:val="00EB0D63"/>
    <w:rsid w:val="00EE5420"/>
    <w:rsid w:val="00F27E60"/>
    <w:rsid w:val="00F32D4E"/>
    <w:rsid w:val="00F9716D"/>
    <w:rsid w:val="00FA6CC2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175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17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umanities.manchester.ac.uk/pgr-handbook-law/connect/even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my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9D1E-B349-4912-90C4-2561EF55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Davenport</dc:creator>
  <cp:lastModifiedBy>Ian Glassey</cp:lastModifiedBy>
  <cp:revision>4</cp:revision>
  <cp:lastPrinted>2017-07-28T12:46:00Z</cp:lastPrinted>
  <dcterms:created xsi:type="dcterms:W3CDTF">2018-08-08T13:18:00Z</dcterms:created>
  <dcterms:modified xsi:type="dcterms:W3CDTF">2018-08-09T09:51:00Z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976805212</vt:i4>
  </property>
</Properties>
</file>