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84" w:rsidRPr="00DA1246" w:rsidRDefault="00DC3984" w:rsidP="00DC3984">
      <w:pPr>
        <w:pStyle w:val="Heading1"/>
      </w:pPr>
      <w:bookmarkStart w:id="0" w:name="_Toc25747600"/>
      <w:r w:rsidRPr="00DA1246">
        <w:t>Appendix 1: Individual Mapping of the UK Professional Standards Framework (UKPSF)</w:t>
      </w:r>
      <w:bookmarkEnd w:id="0"/>
    </w:p>
    <w:p w:rsidR="00DC3984" w:rsidRPr="003747AE" w:rsidRDefault="00DC3984" w:rsidP="00DC3984">
      <w:r w:rsidRPr="003747AE">
        <w:t xml:space="preserve">To complete your portfolio and become a fellow of the HEA it is essential that you provide evidence of how you meet the </w:t>
      </w:r>
      <w:r>
        <w:t xml:space="preserve">UK </w:t>
      </w:r>
      <w:r w:rsidRPr="003747AE">
        <w:t>Professional Standards Framework</w:t>
      </w:r>
      <w:r>
        <w:t xml:space="preserve"> at Descriptor Level 2</w:t>
      </w:r>
      <w:r w:rsidRPr="003747AE">
        <w:t>.  Please use this</w:t>
      </w:r>
      <w:r>
        <w:t xml:space="preserve"> </w:t>
      </w:r>
      <w:r w:rsidRPr="003747AE">
        <w:t xml:space="preserve">form to capture your evidence. </w:t>
      </w:r>
      <w:r w:rsidRPr="003747AE">
        <w:rPr>
          <w:b/>
          <w:u w:val="single"/>
        </w:rPr>
        <w:t>This completed document is to be submitted together with your portfolio.</w:t>
      </w:r>
    </w:p>
    <w:p w:rsidR="00DC3984" w:rsidRPr="003747AE" w:rsidRDefault="00DC3984" w:rsidP="00DC3984"/>
    <w:p w:rsidR="00DC3984" w:rsidRPr="00724918" w:rsidRDefault="00DC3984" w:rsidP="00DC3984">
      <w:pPr>
        <w:rPr>
          <w:rFonts w:cs="Arial"/>
          <w:bCs/>
          <w:iCs/>
        </w:rPr>
      </w:pPr>
      <w:r w:rsidRPr="00724918">
        <w:rPr>
          <w:rFonts w:cs="Arial"/>
          <w:bCs/>
          <w:iCs/>
        </w:rPr>
        <w:t xml:space="preserve">This form has several uses (keep electronic copies): </w:t>
      </w:r>
    </w:p>
    <w:p w:rsidR="00DC3984" w:rsidRPr="00724918" w:rsidRDefault="00DC3984" w:rsidP="00DC398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cs="Arial"/>
          <w:bCs/>
          <w:iCs/>
        </w:rPr>
      </w:pPr>
      <w:r w:rsidRPr="00724918">
        <w:rPr>
          <w:rFonts w:cs="Arial"/>
          <w:bCs/>
          <w:iCs/>
        </w:rPr>
        <w:t>It can be used as a personal ‘aide memoire’ when attending sessions, to jot down ideas which might need further investigation.</w:t>
      </w:r>
    </w:p>
    <w:p w:rsidR="00DC3984" w:rsidRPr="00724918" w:rsidRDefault="00DC3984" w:rsidP="00DC398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cs="Arial"/>
          <w:bCs/>
          <w:iCs/>
        </w:rPr>
      </w:pPr>
      <w:r w:rsidRPr="00724918">
        <w:rPr>
          <w:rFonts w:cs="Arial"/>
          <w:bCs/>
          <w:iCs/>
        </w:rPr>
        <w:t>It can help personal reflection to make some notes when you’ve just done some teaching or research.</w:t>
      </w:r>
    </w:p>
    <w:p w:rsidR="00DC3984" w:rsidRPr="00724918" w:rsidRDefault="00DC3984" w:rsidP="00DC398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cs="Arial"/>
          <w:bCs/>
          <w:iCs/>
        </w:rPr>
      </w:pPr>
      <w:r w:rsidRPr="00724918">
        <w:rPr>
          <w:rFonts w:cs="Arial"/>
          <w:bCs/>
          <w:iCs/>
        </w:rPr>
        <w:t>It highlights those areas where you might need to do further work.</w:t>
      </w:r>
    </w:p>
    <w:p w:rsidR="00DC3984" w:rsidRPr="00724918" w:rsidRDefault="00DC3984" w:rsidP="00DC398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cs="Arial"/>
          <w:bCs/>
          <w:iCs/>
        </w:rPr>
      </w:pPr>
      <w:r w:rsidRPr="00724918">
        <w:rPr>
          <w:rFonts w:cs="Arial"/>
          <w:bCs/>
          <w:iCs/>
        </w:rPr>
        <w:t>For the purposes of accreditation and final assessment, it summarises your experience in all the required areas.</w:t>
      </w:r>
    </w:p>
    <w:p w:rsidR="00DC3984" w:rsidRPr="00A0613E" w:rsidRDefault="00DC3984" w:rsidP="00DC3984">
      <w:pPr>
        <w:rPr>
          <w:rFonts w:cs="Arial"/>
        </w:rPr>
      </w:pPr>
      <w:r w:rsidRPr="00A0613E">
        <w:rPr>
          <w:rFonts w:cs="Arial"/>
        </w:rPr>
        <w:t xml:space="preserve">Please see: </w:t>
      </w:r>
      <w:hyperlink r:id="rId5" w:history="1">
        <w:r w:rsidRPr="00A0613E">
          <w:rPr>
            <w:rStyle w:val="Hyperlink"/>
            <w:rFonts w:cs="Arial"/>
          </w:rPr>
          <w:t>www.heacademy.ac.uk</w:t>
        </w:r>
      </w:hyperlink>
      <w:r w:rsidRPr="00A0613E">
        <w:rPr>
          <w:rFonts w:cs="Arial"/>
        </w:rPr>
        <w:t xml:space="preserve"> for further information relating to the United Kingdom Professional Standards Framework (UKPSF).</w:t>
      </w:r>
    </w:p>
    <w:p w:rsidR="00DC3984" w:rsidRPr="003747AE" w:rsidRDefault="00DC3984" w:rsidP="00DC3984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9722"/>
        <w:gridCol w:w="2314"/>
      </w:tblGrid>
      <w:tr w:rsidR="00DC3984" w:rsidRPr="003747AE" w:rsidTr="004D4FE9">
        <w:tc>
          <w:tcPr>
            <w:tcW w:w="1089" w:type="pct"/>
            <w:shd w:val="clear" w:color="auto" w:fill="B8CCE4"/>
          </w:tcPr>
          <w:p w:rsidR="00DC3984" w:rsidRDefault="00DC3984" w:rsidP="004D4FE9">
            <w:pPr>
              <w:rPr>
                <w:rFonts w:cs="Arial"/>
                <w:b/>
                <w:bCs/>
              </w:rPr>
            </w:pPr>
            <w:r w:rsidRPr="00B47EBE">
              <w:rPr>
                <w:rFonts w:cs="Arial"/>
                <w:b/>
                <w:bCs/>
              </w:rPr>
              <w:t>I.</w:t>
            </w:r>
            <w:r>
              <w:rPr>
                <w:rFonts w:cs="Arial"/>
                <w:b/>
                <w:bCs/>
              </w:rPr>
              <w:t xml:space="preserve"> Successful engagement across all five areas of a</w:t>
            </w:r>
            <w:r w:rsidRPr="003747AE">
              <w:rPr>
                <w:rFonts w:cs="Arial"/>
                <w:b/>
                <w:bCs/>
              </w:rPr>
              <w:t>ctivity</w:t>
            </w:r>
          </w:p>
          <w:p w:rsidR="00DC3984" w:rsidRPr="003747AE" w:rsidRDefault="00DC3984" w:rsidP="004D4FE9">
            <w:pPr>
              <w:rPr>
                <w:rFonts w:cs="Arial"/>
                <w:b/>
                <w:bCs/>
              </w:rPr>
            </w:pPr>
            <w:r w:rsidRPr="00090D16">
              <w:rPr>
                <w:rFonts w:cs="Arial"/>
                <w:b/>
                <w:iCs/>
              </w:rPr>
              <w:t>IV. Successful engagement in appropriate teaching practices related to the Areas of Activity</w:t>
            </w:r>
          </w:p>
        </w:tc>
        <w:tc>
          <w:tcPr>
            <w:tcW w:w="3159" w:type="pct"/>
            <w:shd w:val="clear" w:color="auto" w:fill="B8CCE4"/>
          </w:tcPr>
          <w:p w:rsidR="00DC3984" w:rsidRPr="003747AE" w:rsidRDefault="00DC3984" w:rsidP="004D4FE9">
            <w:pPr>
              <w:jc w:val="center"/>
              <w:rPr>
                <w:rFonts w:cs="Arial"/>
                <w:b/>
                <w:bCs/>
              </w:rPr>
            </w:pPr>
            <w:r w:rsidRPr="002109BE">
              <w:rPr>
                <w:rFonts w:cs="Arial"/>
                <w:b/>
                <w:bCs/>
              </w:rPr>
              <w:t xml:space="preserve">Critically reflect on and show where you </w:t>
            </w:r>
            <w:r>
              <w:rPr>
                <w:rFonts w:cs="Arial"/>
                <w:b/>
                <w:bCs/>
              </w:rPr>
              <w:t xml:space="preserve">have </w:t>
            </w:r>
            <w:r w:rsidRPr="002109BE">
              <w:rPr>
                <w:rFonts w:cs="Arial"/>
                <w:b/>
                <w:bCs/>
              </w:rPr>
              <w:t>demonstrated this in the programme</w:t>
            </w:r>
            <w:r>
              <w:rPr>
                <w:rFonts w:cs="Arial"/>
                <w:b/>
                <w:bCs/>
              </w:rPr>
              <w:t xml:space="preserve">, through your academic duties and within your portfolio. Ensure you demonstrate a breadth of practice. </w:t>
            </w:r>
          </w:p>
        </w:tc>
        <w:tc>
          <w:tcPr>
            <w:tcW w:w="752" w:type="pct"/>
            <w:shd w:val="clear" w:color="auto" w:fill="B8CCE4"/>
          </w:tcPr>
          <w:p w:rsidR="00DC3984" w:rsidRPr="003747AE" w:rsidRDefault="00DC3984" w:rsidP="004D4F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Cross reference to p</w:t>
            </w:r>
            <w:r w:rsidRPr="003747AE">
              <w:rPr>
                <w:rFonts w:cs="Arial"/>
                <w:b/>
                <w:bCs/>
              </w:rPr>
              <w:t xml:space="preserve">ortfolio </w:t>
            </w:r>
            <w:r>
              <w:rPr>
                <w:rFonts w:cs="Arial"/>
                <w:b/>
                <w:bCs/>
              </w:rPr>
              <w:t>p</w:t>
            </w:r>
            <w:r w:rsidRPr="003747AE">
              <w:rPr>
                <w:rFonts w:cs="Arial"/>
                <w:b/>
                <w:bCs/>
              </w:rPr>
              <w:t xml:space="preserve">age </w:t>
            </w:r>
            <w:r>
              <w:rPr>
                <w:rFonts w:cs="Arial"/>
                <w:b/>
                <w:bCs/>
              </w:rPr>
              <w:t>number where appropriate</w:t>
            </w: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A1: Design and plan learning activities and/or programmes of study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A2: Teach and/or support learning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A3: Assess and give feedback to learners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A4: Develop effective learning environments and approaches to student support and guidance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tcBorders>
              <w:bottom w:val="single" w:sz="4" w:space="0" w:color="auto"/>
            </w:tcBorders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A5: Engage in continuing professional development in subjects/disciplines and their pedagogy, incorporating </w:t>
            </w:r>
            <w:r w:rsidRPr="003747AE">
              <w:rPr>
                <w:rFonts w:cs="Arial"/>
                <w:i/>
                <w:iCs/>
              </w:rPr>
              <w:lastRenderedPageBreak/>
              <w:t>research, scholarship and the evaluation of professional practices.</w:t>
            </w:r>
          </w:p>
        </w:tc>
        <w:tc>
          <w:tcPr>
            <w:tcW w:w="3159" w:type="pct"/>
            <w:tcBorders>
              <w:bottom w:val="single" w:sz="4" w:space="0" w:color="auto"/>
            </w:tcBorders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rPr>
          <w:trHeight w:val="567"/>
        </w:trPr>
        <w:tc>
          <w:tcPr>
            <w:tcW w:w="5000" w:type="pct"/>
            <w:gridSpan w:val="3"/>
            <w:shd w:val="clear" w:color="auto" w:fill="B8CCE4"/>
            <w:vAlign w:val="center"/>
          </w:tcPr>
          <w:p w:rsidR="00DC3984" w:rsidRPr="003747AE" w:rsidRDefault="00DC3984" w:rsidP="004D4FE9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II. Appropriate knowledge and understanding across all aspects of c</w:t>
            </w:r>
            <w:r w:rsidRPr="003747AE">
              <w:rPr>
                <w:rFonts w:cs="Arial"/>
                <w:b/>
                <w:bCs/>
              </w:rPr>
              <w:t xml:space="preserve">ore </w:t>
            </w:r>
            <w:r>
              <w:rPr>
                <w:rFonts w:cs="Arial"/>
                <w:b/>
                <w:bCs/>
              </w:rPr>
              <w:t>k</w:t>
            </w:r>
            <w:r w:rsidRPr="003747AE">
              <w:rPr>
                <w:rFonts w:cs="Arial"/>
                <w:b/>
                <w:bCs/>
              </w:rPr>
              <w:t>nowledge</w:t>
            </w:r>
          </w:p>
        </w:tc>
      </w:tr>
      <w:tr w:rsidR="00DC3984" w:rsidRPr="003747AE" w:rsidTr="004D4FE9">
        <w:trPr>
          <w:trHeight w:val="240"/>
        </w:trPr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K1: The subject material</w:t>
            </w:r>
          </w:p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rPr>
          <w:trHeight w:val="1323"/>
        </w:trPr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K2: Appropriate methods for teaching, learning and assessing in the subject area and at the level of the academic programme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K3: How students learn, both generally and within their subject/disciplinary area(s)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K4: The use and value of appropriate learning technologies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K5: Methods for evaluating the effectiveness of teaching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tcBorders>
              <w:bottom w:val="single" w:sz="4" w:space="0" w:color="auto"/>
            </w:tcBorders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K6: The implications of quality assurance and quality enhancement for academic and professional practice with a particular focus on teaching</w:t>
            </w:r>
          </w:p>
        </w:tc>
        <w:tc>
          <w:tcPr>
            <w:tcW w:w="3159" w:type="pct"/>
            <w:tcBorders>
              <w:bottom w:val="single" w:sz="4" w:space="0" w:color="auto"/>
            </w:tcBorders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rPr>
          <w:trHeight w:val="567"/>
        </w:trPr>
        <w:tc>
          <w:tcPr>
            <w:tcW w:w="5000" w:type="pct"/>
            <w:gridSpan w:val="3"/>
            <w:shd w:val="clear" w:color="auto" w:fill="B8CCE4"/>
            <w:vAlign w:val="center"/>
          </w:tcPr>
          <w:p w:rsidR="00DC3984" w:rsidRPr="003747AE" w:rsidRDefault="00DC3984" w:rsidP="004D4FE9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III. A commitment to all of the professional v</w:t>
            </w:r>
            <w:r w:rsidRPr="003747AE">
              <w:rPr>
                <w:rFonts w:cs="Arial"/>
                <w:b/>
                <w:bCs/>
              </w:rPr>
              <w:t>alues</w:t>
            </w: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V1: Respect individual learners and diverse learning communities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V2: Promote participation in higher education and equality of opportunity for learners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lastRenderedPageBreak/>
              <w:t>V3: use evidence-informed approaches and the outcomes from research, scholarship and continuing professional development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08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V4: Acknowledge the wider context in which higher education operates recognising the implications for professional practice.</w:t>
            </w:r>
          </w:p>
        </w:tc>
        <w:tc>
          <w:tcPr>
            <w:tcW w:w="3159" w:type="pct"/>
            <w:shd w:val="clear" w:color="auto" w:fill="auto"/>
          </w:tcPr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089" w:type="pct"/>
            <w:shd w:val="clear" w:color="auto" w:fill="B8CCE4"/>
          </w:tcPr>
          <w:p w:rsidR="00DC3984" w:rsidRPr="00090D16" w:rsidRDefault="00DC3984" w:rsidP="004D4FE9">
            <w:pPr>
              <w:rPr>
                <w:rFonts w:cs="Arial"/>
                <w:b/>
                <w:iCs/>
              </w:rPr>
            </w:pPr>
            <w:r w:rsidRPr="00090D16">
              <w:rPr>
                <w:rFonts w:cs="Arial"/>
                <w:b/>
                <w:iCs/>
              </w:rPr>
              <w:t>V. Successful incorporation of subject and pedagogic research and/or scholarship within the above activities, as part of an integrated approach to academic practice</w:t>
            </w:r>
          </w:p>
        </w:tc>
        <w:tc>
          <w:tcPr>
            <w:tcW w:w="3159" w:type="pct"/>
            <w:shd w:val="clear" w:color="auto" w:fill="B8CCE4"/>
          </w:tcPr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B8CCE4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  <w:tr w:rsidR="00DC3984" w:rsidRPr="003747AE" w:rsidTr="004D4FE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089" w:type="pct"/>
            <w:shd w:val="clear" w:color="auto" w:fill="B8CCE4"/>
          </w:tcPr>
          <w:p w:rsidR="00DC3984" w:rsidRPr="00090D16" w:rsidRDefault="00DC3984" w:rsidP="004D4FE9">
            <w:pPr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VI</w:t>
            </w:r>
            <w:r w:rsidRPr="00090D16">
              <w:rPr>
                <w:rFonts w:cs="Arial"/>
                <w:b/>
                <w:iCs/>
              </w:rPr>
              <w:t>. Successful engagement in continuing professional development in relation to teaching, learning, assessment and, where appropriate related professional practices.</w:t>
            </w:r>
          </w:p>
        </w:tc>
        <w:tc>
          <w:tcPr>
            <w:tcW w:w="3159" w:type="pct"/>
            <w:shd w:val="clear" w:color="auto" w:fill="B8CCE4"/>
          </w:tcPr>
          <w:p w:rsidR="00DC3984" w:rsidRPr="003747AE" w:rsidRDefault="00DC3984" w:rsidP="004D4FE9">
            <w:pPr>
              <w:rPr>
                <w:rFonts w:cs="Arial"/>
              </w:rPr>
            </w:pPr>
          </w:p>
        </w:tc>
        <w:tc>
          <w:tcPr>
            <w:tcW w:w="752" w:type="pct"/>
            <w:shd w:val="clear" w:color="auto" w:fill="B8CCE4"/>
          </w:tcPr>
          <w:p w:rsidR="00DC3984" w:rsidRPr="003747AE" w:rsidRDefault="00DC3984" w:rsidP="004D4FE9">
            <w:pPr>
              <w:jc w:val="center"/>
              <w:rPr>
                <w:rFonts w:cs="Arial"/>
              </w:rPr>
            </w:pPr>
          </w:p>
        </w:tc>
      </w:tr>
    </w:tbl>
    <w:p w:rsidR="00DC3984" w:rsidRPr="003747AE" w:rsidRDefault="00DC3984" w:rsidP="00DC3984">
      <w:pPr>
        <w:rPr>
          <w:rFonts w:cs="Arial"/>
        </w:rPr>
      </w:pPr>
    </w:p>
    <w:p w:rsidR="00DC3984" w:rsidRPr="00BA4188" w:rsidRDefault="00DC3984" w:rsidP="00DC3984">
      <w:r w:rsidRPr="00BA4188">
        <w:t xml:space="preserve">To view a copy of the UKPSF please </w:t>
      </w:r>
      <w:hyperlink w:anchor="_Dimensions_of_the" w:history="1">
        <w:r w:rsidRPr="00DA1246">
          <w:rPr>
            <w:rStyle w:val="Hyperlink"/>
          </w:rPr>
          <w:t>see page 10</w:t>
        </w:r>
      </w:hyperlink>
      <w:r w:rsidRPr="00BA4188">
        <w:t xml:space="preserve"> or visit </w:t>
      </w:r>
      <w:hyperlink r:id="rId6" w:history="1">
        <w:r w:rsidRPr="00BA4188">
          <w:rPr>
            <w:rStyle w:val="Hyperlink"/>
            <w:rFonts w:cs="Arial"/>
          </w:rPr>
          <w:t>https://www.heacademy.ac.uk/ukpsf</w:t>
        </w:r>
      </w:hyperlink>
    </w:p>
    <w:p w:rsidR="002B4392" w:rsidRDefault="00DC3984">
      <w:bookmarkStart w:id="1" w:name="_GoBack"/>
      <w:bookmarkEnd w:id="1"/>
    </w:p>
    <w:sectPr w:rsidR="002B4392" w:rsidSect="00DC39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F47"/>
    <w:multiLevelType w:val="hybridMultilevel"/>
    <w:tmpl w:val="1D6C0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84"/>
    <w:rsid w:val="005352B4"/>
    <w:rsid w:val="005763DA"/>
    <w:rsid w:val="00D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721CE-DCE1-49FD-A873-DBC73A5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84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98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styleId="Hyperlink">
    <w:name w:val="Hyperlink"/>
    <w:uiPriority w:val="99"/>
    <w:rsid w:val="00DC3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9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cademy.ac.uk/ukpsf" TargetMode="External"/><Relationship Id="rId5" Type="http://schemas.openxmlformats.org/officeDocument/2006/relationships/hyperlink" Target="http://www.heacademy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Dewsnip</dc:creator>
  <cp:keywords/>
  <dc:description/>
  <cp:lastModifiedBy>Holly Dewsnip</cp:lastModifiedBy>
  <cp:revision>1</cp:revision>
  <dcterms:created xsi:type="dcterms:W3CDTF">2020-03-06T15:27:00Z</dcterms:created>
  <dcterms:modified xsi:type="dcterms:W3CDTF">2020-03-06T15:28:00Z</dcterms:modified>
</cp:coreProperties>
</file>