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E31E" w14:textId="569568E6" w:rsidR="005F5DC7" w:rsidRPr="005033FB" w:rsidRDefault="005F5DC7" w:rsidP="00100D48">
      <w:pPr>
        <w:tabs>
          <w:tab w:val="left" w:pos="426"/>
        </w:tabs>
        <w:ind w:left="-284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A116F52" w14:textId="3758D644" w:rsidR="00254759" w:rsidRDefault="006E64BB" w:rsidP="004565A6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  <w:r w:rsidRPr="005033FB">
        <w:rPr>
          <w:rFonts w:ascii="Arial" w:hAnsi="Arial" w:cs="Arial"/>
          <w:b/>
          <w:color w:val="5F497A" w:themeColor="accent4" w:themeShade="BF"/>
          <w:sz w:val="60"/>
          <w:szCs w:val="60"/>
        </w:rPr>
        <w:t>How</w:t>
      </w:r>
      <w:r w:rsidR="00100D48" w:rsidRPr="005033FB">
        <w:rPr>
          <w:rFonts w:ascii="Arial" w:hAnsi="Arial" w:cs="Arial"/>
          <w:b/>
          <w:color w:val="5F497A" w:themeColor="accent4" w:themeShade="BF"/>
          <w:sz w:val="60"/>
          <w:szCs w:val="60"/>
        </w:rPr>
        <w:t xml:space="preserve"> to </w:t>
      </w:r>
      <w:r w:rsidR="002D6033">
        <w:rPr>
          <w:rFonts w:ascii="Arial" w:hAnsi="Arial" w:cs="Arial"/>
          <w:b/>
          <w:color w:val="5F497A" w:themeColor="accent4" w:themeShade="BF"/>
          <w:sz w:val="60"/>
          <w:szCs w:val="60"/>
        </w:rPr>
        <w:t>manage a job share</w:t>
      </w:r>
    </w:p>
    <w:p w14:paraId="3A26532A" w14:textId="77777777" w:rsidR="00CD3C58" w:rsidRDefault="00CD3C58" w:rsidP="00CD3C58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EF5DB1" w14:textId="6973DBEB" w:rsidR="009E7752" w:rsidRPr="007A551E" w:rsidRDefault="009E7752" w:rsidP="007A551E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 xml:space="preserve">-sharing is an arrangement under which two or more employees </w:t>
      </w:r>
      <w:r w:rsidRPr="007A551E">
        <w:rPr>
          <w:rStyle w:val="highlight"/>
          <w:rFonts w:ascii="Arial" w:hAnsi="Arial" w:cs="Arial"/>
          <w:sz w:val="22"/>
          <w:szCs w:val="22"/>
        </w:rPr>
        <w:t>share</w:t>
      </w:r>
      <w:r w:rsidRPr="007A551E">
        <w:rPr>
          <w:rFonts w:ascii="Arial" w:hAnsi="Arial" w:cs="Arial"/>
          <w:sz w:val="22"/>
          <w:szCs w:val="22"/>
        </w:rPr>
        <w:t xml:space="preserve"> one full-time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 xml:space="preserve">. The responsibilities and duties of the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 xml:space="preserve"> are split, and the hours, pay and benefits of the full-time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 xml:space="preserve"> are divided in proportion to the hours that each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 xml:space="preserve">-sharer works.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>-sharers are, in effect, part-time workers.</w:t>
      </w:r>
    </w:p>
    <w:p w14:paraId="107E1463" w14:textId="32D49750" w:rsidR="009E7752" w:rsidRPr="007A551E" w:rsidRDefault="009E7752" w:rsidP="007A551E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 xml:space="preserve">A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 xml:space="preserve"> may be split in terms of hours, i</w:t>
      </w:r>
      <w:r w:rsidR="007A551E">
        <w:rPr>
          <w:rFonts w:ascii="Arial" w:hAnsi="Arial" w:cs="Arial"/>
          <w:sz w:val="22"/>
          <w:szCs w:val="22"/>
        </w:rPr>
        <w:t>.</w:t>
      </w:r>
      <w:r w:rsidRPr="007A551E">
        <w:rPr>
          <w:rFonts w:ascii="Arial" w:hAnsi="Arial" w:cs="Arial"/>
          <w:sz w:val="22"/>
          <w:szCs w:val="22"/>
        </w:rPr>
        <w:t>e</w:t>
      </w:r>
      <w:r w:rsidR="007A551E">
        <w:rPr>
          <w:rFonts w:ascii="Arial" w:hAnsi="Arial" w:cs="Arial"/>
          <w:sz w:val="22"/>
          <w:szCs w:val="22"/>
        </w:rPr>
        <w:t>.</w:t>
      </w:r>
      <w:r w:rsidRPr="007A551E">
        <w:rPr>
          <w:rFonts w:ascii="Arial" w:hAnsi="Arial" w:cs="Arial"/>
          <w:sz w:val="22"/>
          <w:szCs w:val="22"/>
        </w:rPr>
        <w:t xml:space="preserve"> by dividing up the total number of hours that need to be worked, with both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 xml:space="preserve">-sharers doing the same type of work) or in terms of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="007A551E">
        <w:rPr>
          <w:rFonts w:ascii="Arial" w:hAnsi="Arial" w:cs="Arial"/>
          <w:sz w:val="22"/>
          <w:szCs w:val="22"/>
        </w:rPr>
        <w:t xml:space="preserve"> duties,</w:t>
      </w:r>
      <w:r w:rsidRPr="007A551E">
        <w:rPr>
          <w:rFonts w:ascii="Arial" w:hAnsi="Arial" w:cs="Arial"/>
          <w:sz w:val="22"/>
          <w:szCs w:val="22"/>
        </w:rPr>
        <w:t xml:space="preserve"> by identifying the different elements of the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 xml:space="preserve"> and allocating separate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 xml:space="preserve"> duties to each </w:t>
      </w:r>
      <w:r w:rsidRPr="007A551E">
        <w:rPr>
          <w:rStyle w:val="highlight"/>
          <w:rFonts w:ascii="Arial" w:hAnsi="Arial" w:cs="Arial"/>
          <w:sz w:val="22"/>
          <w:szCs w:val="22"/>
        </w:rPr>
        <w:t>job</w:t>
      </w:r>
      <w:r w:rsidRPr="007A551E">
        <w:rPr>
          <w:rFonts w:ascii="Arial" w:hAnsi="Arial" w:cs="Arial"/>
          <w:sz w:val="22"/>
          <w:szCs w:val="22"/>
        </w:rPr>
        <w:t xml:space="preserve">-sharer.  </w:t>
      </w:r>
    </w:p>
    <w:p w14:paraId="1CC8C60D" w14:textId="20BD99A1" w:rsidR="009E7752" w:rsidRPr="007A551E" w:rsidRDefault="009E7752" w:rsidP="007A551E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 xml:space="preserve">Advantages of job sharing include: retaining experienced staff who no longer wish to work full time, widening the talent pool from which to recruit, minimising disruption during holiday periods (as the other party will </w:t>
      </w:r>
      <w:r w:rsidR="007A551E">
        <w:rPr>
          <w:rFonts w:ascii="Arial" w:hAnsi="Arial" w:cs="Arial"/>
          <w:sz w:val="22"/>
          <w:szCs w:val="22"/>
        </w:rPr>
        <w:t xml:space="preserve">typically </w:t>
      </w:r>
      <w:r w:rsidRPr="007A551E">
        <w:rPr>
          <w:rFonts w:ascii="Arial" w:hAnsi="Arial" w:cs="Arial"/>
          <w:sz w:val="22"/>
          <w:szCs w:val="22"/>
        </w:rPr>
        <w:t xml:space="preserve">provide cover), supporting equality and diversity aims and higher employee engagement.  </w:t>
      </w:r>
    </w:p>
    <w:p w14:paraId="2E9DE0FC" w14:textId="77777777" w:rsidR="009E7752" w:rsidRPr="007A551E" w:rsidRDefault="009E7752" w:rsidP="007A551E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BB667E" w14:textId="77777777" w:rsidR="007A551E" w:rsidRDefault="009E7752" w:rsidP="007A551E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>Managers should:</w:t>
      </w:r>
    </w:p>
    <w:p w14:paraId="4FE0C5CC" w14:textId="4457C1AC" w:rsidR="009E7752" w:rsidRPr="007A551E" w:rsidRDefault="009E7752" w:rsidP="007A551E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 xml:space="preserve"> </w:t>
      </w:r>
    </w:p>
    <w:p w14:paraId="785C6654" w14:textId="4E8B3BBC" w:rsidR="009E7752" w:rsidRPr="007A551E" w:rsidRDefault="009E7752" w:rsidP="007A551E">
      <w:pPr>
        <w:pStyle w:val="ListParagraph"/>
        <w:numPr>
          <w:ilvl w:val="0"/>
          <w:numId w:val="4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>Be open minded if asked about job sharing.  Undertake an objective analysis of how a role could be sh</w:t>
      </w:r>
      <w:r w:rsidR="007A551E">
        <w:rPr>
          <w:rFonts w:ascii="Arial" w:hAnsi="Arial" w:cs="Arial"/>
          <w:sz w:val="22"/>
          <w:szCs w:val="22"/>
        </w:rPr>
        <w:t xml:space="preserve">ared before </w:t>
      </w:r>
      <w:r w:rsidR="007A551E">
        <w:rPr>
          <w:rFonts w:ascii="Arial" w:hAnsi="Arial" w:cs="Arial"/>
          <w:sz w:val="22"/>
          <w:szCs w:val="22"/>
        </w:rPr>
        <w:lastRenderedPageBreak/>
        <w:t xml:space="preserve">making a decision on whether the role is suitable for sharing. </w:t>
      </w:r>
    </w:p>
    <w:p w14:paraId="1AA99873" w14:textId="1498C11C" w:rsidR="009E7752" w:rsidRPr="007A551E" w:rsidRDefault="009E7752" w:rsidP="007A551E">
      <w:pPr>
        <w:pStyle w:val="ListParagraph"/>
        <w:numPr>
          <w:ilvl w:val="0"/>
          <w:numId w:val="4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 xml:space="preserve">Allow job sharers to have ownership over how the work is shared, with your guidance and support.  </w:t>
      </w:r>
    </w:p>
    <w:p w14:paraId="16EAC7D3" w14:textId="15D1127D" w:rsidR="007A551E" w:rsidRPr="007A551E" w:rsidRDefault="007A551E" w:rsidP="007A551E">
      <w:pPr>
        <w:pStyle w:val="ListParagraph"/>
        <w:numPr>
          <w:ilvl w:val="0"/>
          <w:numId w:val="4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 xml:space="preserve">Agree up front how periods of holiday or sickness absence will be dealt with. </w:t>
      </w:r>
    </w:p>
    <w:p w14:paraId="57A2A642" w14:textId="02279BF6" w:rsidR="007A551E" w:rsidRPr="007A551E" w:rsidRDefault="007A551E" w:rsidP="007A551E">
      <w:pPr>
        <w:pStyle w:val="ListParagraph"/>
        <w:numPr>
          <w:ilvl w:val="0"/>
          <w:numId w:val="4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>Ensure that there is a written job share a</w:t>
      </w:r>
      <w:r>
        <w:rPr>
          <w:rFonts w:ascii="Arial" w:hAnsi="Arial" w:cs="Arial"/>
          <w:sz w:val="22"/>
          <w:szCs w:val="22"/>
        </w:rPr>
        <w:t xml:space="preserve">greement and appropriate terms and conditions of employment.  Discuss this with HR.  </w:t>
      </w:r>
    </w:p>
    <w:p w14:paraId="544AEB2B" w14:textId="4496D162" w:rsidR="007A551E" w:rsidRPr="007A551E" w:rsidRDefault="007A551E" w:rsidP="007A551E">
      <w:pPr>
        <w:pStyle w:val="ListParagraph"/>
        <w:numPr>
          <w:ilvl w:val="0"/>
          <w:numId w:val="4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 xml:space="preserve">Agree how the handover of work from one job sharer to the other will be managed – for example, will there be an overlap of hours? </w:t>
      </w:r>
      <w:r>
        <w:rPr>
          <w:rFonts w:ascii="Arial" w:hAnsi="Arial" w:cs="Arial"/>
          <w:sz w:val="22"/>
          <w:szCs w:val="22"/>
        </w:rPr>
        <w:t xml:space="preserve">Agree suitable methods of communication.  </w:t>
      </w:r>
    </w:p>
    <w:p w14:paraId="61563F6F" w14:textId="2A9F0793" w:rsidR="007A551E" w:rsidRPr="007A551E" w:rsidRDefault="007A551E" w:rsidP="007A551E">
      <w:pPr>
        <w:pStyle w:val="ListParagraph"/>
        <w:numPr>
          <w:ilvl w:val="0"/>
          <w:numId w:val="4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 xml:space="preserve">Help the job sharers to build a strong relationship </w:t>
      </w:r>
      <w:r>
        <w:rPr>
          <w:rFonts w:ascii="Arial" w:hAnsi="Arial" w:cs="Arial"/>
          <w:sz w:val="22"/>
          <w:szCs w:val="22"/>
        </w:rPr>
        <w:t>with</w:t>
      </w:r>
      <w:r w:rsidRPr="007A551E">
        <w:rPr>
          <w:rFonts w:ascii="Arial" w:hAnsi="Arial" w:cs="Arial"/>
          <w:sz w:val="22"/>
          <w:szCs w:val="22"/>
        </w:rPr>
        <w:t xml:space="preserve"> each other.</w:t>
      </w:r>
    </w:p>
    <w:p w14:paraId="6C0FAE9A" w14:textId="6837ED1F" w:rsidR="007A551E" w:rsidRPr="007A551E" w:rsidRDefault="007A551E" w:rsidP="007A551E">
      <w:pPr>
        <w:pStyle w:val="ListParagraph"/>
        <w:numPr>
          <w:ilvl w:val="0"/>
          <w:numId w:val="4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 xml:space="preserve">Treat the job sharers separately in relation to performance review, feedback and recognition. </w:t>
      </w:r>
    </w:p>
    <w:p w14:paraId="397D1E37" w14:textId="26E3E35D" w:rsidR="007A551E" w:rsidRPr="007A551E" w:rsidRDefault="007A551E" w:rsidP="007A551E">
      <w:pPr>
        <w:pStyle w:val="ListParagraph"/>
        <w:numPr>
          <w:ilvl w:val="0"/>
          <w:numId w:val="47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51E">
        <w:rPr>
          <w:rFonts w:ascii="Arial" w:hAnsi="Arial" w:cs="Arial"/>
          <w:sz w:val="22"/>
          <w:szCs w:val="22"/>
        </w:rPr>
        <w:t xml:space="preserve">Remember that job sharing can potentially be suitable for a wide variety of roles, including senior posts.  </w:t>
      </w:r>
    </w:p>
    <w:sectPr w:rsidR="007A551E" w:rsidRPr="007A551E" w:rsidSect="00100D48">
      <w:headerReference w:type="default" r:id="rId8"/>
      <w:footerReference w:type="default" r:id="rId9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39AC" w14:textId="77777777" w:rsidR="00100D48" w:rsidRDefault="00100D48">
      <w:r>
        <w:separator/>
      </w:r>
    </w:p>
  </w:endnote>
  <w:endnote w:type="continuationSeparator" w:id="0">
    <w:p w14:paraId="04DC4B2E" w14:textId="77777777" w:rsidR="00100D48" w:rsidRDefault="001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BFC71" w14:textId="77777777" w:rsidR="00100D48" w:rsidRPr="00E00311" w:rsidRDefault="00100D48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Human Resources 2018 </w:t>
    </w:r>
  </w:p>
  <w:p w14:paraId="76404BE6" w14:textId="77777777"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1BACA706" w14:textId="641FD21D"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5655E2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5655E2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9905D62" w14:textId="77777777"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46CB5" w14:textId="77777777" w:rsidR="00100D48" w:rsidRDefault="00100D48">
      <w:r>
        <w:separator/>
      </w:r>
    </w:p>
  </w:footnote>
  <w:footnote w:type="continuationSeparator" w:id="0">
    <w:p w14:paraId="44EDDFFC" w14:textId="77777777" w:rsidR="00100D48" w:rsidRDefault="0010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3BEB3" w14:textId="77824067" w:rsidR="00100D48" w:rsidRDefault="0074255E" w:rsidP="0074255E">
    <w:pPr>
      <w:pStyle w:val="Header"/>
      <w:ind w:hanging="567"/>
    </w:pPr>
    <w:r>
      <w:rPr>
        <w:noProof/>
        <w:lang w:val="en-GB" w:eastAsia="en-GB"/>
      </w:rPr>
      <w:drawing>
        <wp:inline distT="0" distB="0" distL="0" distR="0" wp14:anchorId="5AEDB7DC" wp14:editId="3ACC9C4F">
          <wp:extent cx="7400658" cy="15036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w to guid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84"/>
                  <a:stretch/>
                </pic:blipFill>
                <pic:spPr bwMode="auto">
                  <a:xfrm>
                    <a:off x="0" y="0"/>
                    <a:ext cx="7412160" cy="1506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027B3"/>
    <w:multiLevelType w:val="hybridMultilevel"/>
    <w:tmpl w:val="65C6C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3C91"/>
    <w:multiLevelType w:val="multilevel"/>
    <w:tmpl w:val="B26A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F576B"/>
    <w:multiLevelType w:val="hybridMultilevel"/>
    <w:tmpl w:val="BF64F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15B52"/>
    <w:multiLevelType w:val="hybridMultilevel"/>
    <w:tmpl w:val="5378B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3476D"/>
    <w:multiLevelType w:val="hybridMultilevel"/>
    <w:tmpl w:val="B8286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A6D91"/>
    <w:multiLevelType w:val="hybridMultilevel"/>
    <w:tmpl w:val="4112A3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93079A2"/>
    <w:multiLevelType w:val="hybridMultilevel"/>
    <w:tmpl w:val="FF282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87DD8"/>
    <w:multiLevelType w:val="hybridMultilevel"/>
    <w:tmpl w:val="28B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3356C5A"/>
    <w:multiLevelType w:val="hybridMultilevel"/>
    <w:tmpl w:val="0222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9510B"/>
    <w:multiLevelType w:val="hybridMultilevel"/>
    <w:tmpl w:val="8D16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7B7"/>
    <w:multiLevelType w:val="hybridMultilevel"/>
    <w:tmpl w:val="3FF8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2C11B6C"/>
    <w:multiLevelType w:val="multilevel"/>
    <w:tmpl w:val="5138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3"/>
  </w:num>
  <w:num w:numId="4">
    <w:abstractNumId w:val="34"/>
  </w:num>
  <w:num w:numId="5">
    <w:abstractNumId w:val="14"/>
  </w:num>
  <w:num w:numId="6">
    <w:abstractNumId w:val="32"/>
  </w:num>
  <w:num w:numId="7">
    <w:abstractNumId w:val="6"/>
  </w:num>
  <w:num w:numId="8">
    <w:abstractNumId w:val="10"/>
  </w:num>
  <w:num w:numId="9">
    <w:abstractNumId w:val="25"/>
  </w:num>
  <w:num w:numId="10">
    <w:abstractNumId w:val="25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25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25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5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10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10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10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10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10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10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10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26"/>
  </w:num>
  <w:num w:numId="22">
    <w:abstractNumId w:val="13"/>
  </w:num>
  <w:num w:numId="23">
    <w:abstractNumId w:val="24"/>
  </w:num>
  <w:num w:numId="24">
    <w:abstractNumId w:val="33"/>
  </w:num>
  <w:num w:numId="25">
    <w:abstractNumId w:val="4"/>
  </w:num>
  <w:num w:numId="26">
    <w:abstractNumId w:val="9"/>
  </w:num>
  <w:num w:numId="27">
    <w:abstractNumId w:val="30"/>
  </w:num>
  <w:num w:numId="28">
    <w:abstractNumId w:val="0"/>
  </w:num>
  <w:num w:numId="29">
    <w:abstractNumId w:val="18"/>
  </w:num>
  <w:num w:numId="30">
    <w:abstractNumId w:val="31"/>
  </w:num>
  <w:num w:numId="31">
    <w:abstractNumId w:val="5"/>
  </w:num>
  <w:num w:numId="32">
    <w:abstractNumId w:val="12"/>
  </w:num>
  <w:num w:numId="33">
    <w:abstractNumId w:val="29"/>
  </w:num>
  <w:num w:numId="34">
    <w:abstractNumId w:val="15"/>
  </w:num>
  <w:num w:numId="35">
    <w:abstractNumId w:val="11"/>
  </w:num>
  <w:num w:numId="36">
    <w:abstractNumId w:val="27"/>
  </w:num>
  <w:num w:numId="37">
    <w:abstractNumId w:val="8"/>
  </w:num>
  <w:num w:numId="38">
    <w:abstractNumId w:val="21"/>
  </w:num>
  <w:num w:numId="39">
    <w:abstractNumId w:val="20"/>
  </w:num>
  <w:num w:numId="40">
    <w:abstractNumId w:val="28"/>
  </w:num>
  <w:num w:numId="41">
    <w:abstractNumId w:val="17"/>
  </w:num>
  <w:num w:numId="42">
    <w:abstractNumId w:val="19"/>
  </w:num>
  <w:num w:numId="43">
    <w:abstractNumId w:val="2"/>
  </w:num>
  <w:num w:numId="44">
    <w:abstractNumId w:val="1"/>
  </w:num>
  <w:num w:numId="45">
    <w:abstractNumId w:val="23"/>
  </w:num>
  <w:num w:numId="46">
    <w:abstractNumId w:val="35"/>
  </w:num>
  <w:num w:numId="4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250"/>
    <w:rsid w:val="000D1538"/>
    <w:rsid w:val="000D1832"/>
    <w:rsid w:val="000D3229"/>
    <w:rsid w:val="000D5038"/>
    <w:rsid w:val="000D53C5"/>
    <w:rsid w:val="000D6A06"/>
    <w:rsid w:val="000D6C29"/>
    <w:rsid w:val="000D7AF6"/>
    <w:rsid w:val="000D7D9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5A7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759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6033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4DD6"/>
    <w:rsid w:val="00326943"/>
    <w:rsid w:val="00331CC2"/>
    <w:rsid w:val="003326D2"/>
    <w:rsid w:val="00334263"/>
    <w:rsid w:val="00334C12"/>
    <w:rsid w:val="003367D0"/>
    <w:rsid w:val="00341534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2742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5A6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9415C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55E2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85C2C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57782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551E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0FD0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A72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77D29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160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E7752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4A5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41EF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3C58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7F8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061FD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21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4900A55"/>
  <w15:docId w15:val="{2100F654-F642-4302-800F-092A9186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customStyle="1" w:styleId="highlight">
    <w:name w:val="highlight"/>
    <w:basedOn w:val="DefaultParagraphFont"/>
    <w:rsid w:val="009E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1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E3B028-28A1-49E8-9E82-AB53020C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Hannah Cook</cp:lastModifiedBy>
  <cp:revision>2</cp:revision>
  <cp:lastPrinted>2014-06-27T10:19:00Z</cp:lastPrinted>
  <dcterms:created xsi:type="dcterms:W3CDTF">2018-07-16T09:32:00Z</dcterms:created>
  <dcterms:modified xsi:type="dcterms:W3CDTF">2018-07-16T09:32:00Z</dcterms:modified>
</cp:coreProperties>
</file>