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p>
    <w:p w14:paraId="48133506" w14:textId="621FEC34" w:rsidR="00100D48" w:rsidRPr="005033FB"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873AFE">
        <w:rPr>
          <w:rFonts w:ascii="Arial" w:hAnsi="Arial" w:cs="Arial"/>
          <w:b/>
          <w:color w:val="5F497A" w:themeColor="accent4" w:themeShade="BF"/>
          <w:sz w:val="60"/>
          <w:szCs w:val="60"/>
        </w:rPr>
        <w:t>deal with the death of a member of staff</w:t>
      </w:r>
    </w:p>
    <w:p w14:paraId="1520BA56" w14:textId="77777777" w:rsidR="00873AFE" w:rsidRDefault="00873AFE" w:rsidP="00873AFE">
      <w:pPr>
        <w:spacing w:line="360" w:lineRule="auto"/>
        <w:jc w:val="both"/>
        <w:rPr>
          <w:rFonts w:ascii="Arial" w:hAnsi="Arial" w:cs="Arial"/>
          <w:sz w:val="22"/>
          <w:szCs w:val="22"/>
        </w:rPr>
      </w:pPr>
    </w:p>
    <w:p w14:paraId="5ED0AE0A" w14:textId="77777777" w:rsidR="00873AFE" w:rsidRPr="00D25138" w:rsidRDefault="00873AFE" w:rsidP="00873AFE">
      <w:pPr>
        <w:spacing w:line="360" w:lineRule="auto"/>
        <w:jc w:val="both"/>
        <w:rPr>
          <w:rFonts w:ascii="Arial" w:hAnsi="Arial" w:cs="Arial"/>
          <w:color w:val="000000"/>
          <w:sz w:val="22"/>
          <w:szCs w:val="22"/>
          <w:lang w:val="en"/>
        </w:rPr>
      </w:pPr>
      <w:r>
        <w:rPr>
          <w:rFonts w:ascii="Arial" w:hAnsi="Arial" w:cs="Arial"/>
          <w:sz w:val="22"/>
          <w:szCs w:val="22"/>
        </w:rPr>
        <w:t>The death of a</w:t>
      </w:r>
      <w:r w:rsidRPr="00D25138">
        <w:rPr>
          <w:rFonts w:ascii="Arial" w:hAnsi="Arial" w:cs="Arial"/>
          <w:sz w:val="22"/>
          <w:szCs w:val="22"/>
        </w:rPr>
        <w:t xml:space="preserve"> </w:t>
      </w:r>
      <w:r>
        <w:rPr>
          <w:rFonts w:ascii="Arial" w:hAnsi="Arial" w:cs="Arial"/>
          <w:sz w:val="22"/>
          <w:szCs w:val="22"/>
        </w:rPr>
        <w:t>member of staff</w:t>
      </w:r>
      <w:r w:rsidRPr="00D25138">
        <w:rPr>
          <w:rFonts w:ascii="Arial" w:hAnsi="Arial" w:cs="Arial"/>
          <w:sz w:val="22"/>
          <w:szCs w:val="22"/>
        </w:rPr>
        <w:t xml:space="preserve"> can be a traumatic experience for everyone. </w:t>
      </w:r>
      <w:r>
        <w:rPr>
          <w:rFonts w:ascii="Arial" w:hAnsi="Arial" w:cs="Arial"/>
          <w:sz w:val="22"/>
          <w:szCs w:val="22"/>
        </w:rPr>
        <w:t>Every</w:t>
      </w:r>
      <w:r>
        <w:rPr>
          <w:rFonts w:ascii="Arial" w:hAnsi="Arial" w:cs="Arial"/>
          <w:sz w:val="22"/>
          <w:szCs w:val="22"/>
          <w:lang w:val="en"/>
        </w:rPr>
        <w:t xml:space="preserve"> circumstance is</w:t>
      </w:r>
      <w:r w:rsidRPr="00D25138">
        <w:rPr>
          <w:rFonts w:ascii="Arial" w:hAnsi="Arial" w:cs="Arial"/>
          <w:sz w:val="22"/>
          <w:szCs w:val="22"/>
          <w:lang w:val="en"/>
        </w:rPr>
        <w:t xml:space="preserve"> different and will require </w:t>
      </w:r>
      <w:r>
        <w:rPr>
          <w:rFonts w:ascii="Arial" w:hAnsi="Arial" w:cs="Arial"/>
          <w:sz w:val="22"/>
          <w:szCs w:val="22"/>
          <w:lang w:val="en"/>
        </w:rPr>
        <w:t xml:space="preserve">a different response.  Where a member of staff dies in service, their manager should consider the following: </w:t>
      </w:r>
    </w:p>
    <w:p w14:paraId="06B1AC79" w14:textId="77777777" w:rsidR="00873AFE" w:rsidRPr="00D25138" w:rsidRDefault="00873AFE" w:rsidP="00873AFE">
      <w:pPr>
        <w:spacing w:line="360" w:lineRule="auto"/>
        <w:jc w:val="both"/>
        <w:rPr>
          <w:rFonts w:ascii="Arial" w:hAnsi="Arial" w:cs="Arial"/>
          <w:color w:val="000000"/>
          <w:sz w:val="22"/>
          <w:szCs w:val="22"/>
          <w:lang w:val="en"/>
        </w:rPr>
      </w:pPr>
    </w:p>
    <w:p w14:paraId="69325494" w14:textId="7449F5B4" w:rsidR="00873AFE" w:rsidRDefault="00873AFE" w:rsidP="00873AFE">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Notifying </w:t>
      </w:r>
      <w:r w:rsidR="00D06E5A">
        <w:rPr>
          <w:rFonts w:ascii="Arial" w:hAnsi="Arial" w:cs="Arial"/>
          <w:sz w:val="22"/>
          <w:szCs w:val="22"/>
        </w:rPr>
        <w:t xml:space="preserve">the local </w:t>
      </w:r>
      <w:r>
        <w:rPr>
          <w:rFonts w:ascii="Arial" w:hAnsi="Arial" w:cs="Arial"/>
          <w:sz w:val="22"/>
          <w:szCs w:val="22"/>
        </w:rPr>
        <w:t>HR</w:t>
      </w:r>
      <w:r w:rsidR="00D06E5A">
        <w:rPr>
          <w:rFonts w:ascii="Arial" w:hAnsi="Arial" w:cs="Arial"/>
          <w:sz w:val="22"/>
          <w:szCs w:val="22"/>
        </w:rPr>
        <w:t xml:space="preserve"> Partner</w:t>
      </w:r>
      <w:r>
        <w:rPr>
          <w:rFonts w:ascii="Arial" w:hAnsi="Arial" w:cs="Arial"/>
          <w:sz w:val="22"/>
          <w:szCs w:val="22"/>
        </w:rPr>
        <w:t>, if the notification is provided directly to you.</w:t>
      </w:r>
      <w:r w:rsidR="00D06E5A">
        <w:rPr>
          <w:rFonts w:ascii="Arial" w:hAnsi="Arial" w:cs="Arial"/>
          <w:sz w:val="22"/>
          <w:szCs w:val="22"/>
        </w:rPr>
        <w:t xml:space="preserve">  They will notify HR Services to ensure the relevant paperwork is completed.  </w:t>
      </w:r>
      <w:r>
        <w:rPr>
          <w:rFonts w:ascii="Arial" w:hAnsi="Arial" w:cs="Arial"/>
          <w:sz w:val="22"/>
          <w:szCs w:val="22"/>
        </w:rPr>
        <w:t xml:space="preserve"> </w:t>
      </w:r>
    </w:p>
    <w:p w14:paraId="4AE39B90" w14:textId="77777777" w:rsidR="00873AFE" w:rsidRDefault="00873AFE" w:rsidP="00873AFE">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Telling colleagues as soon as possible. More guidance is provided below. </w:t>
      </w:r>
    </w:p>
    <w:p w14:paraId="18D3CF70" w14:textId="77777777" w:rsidR="00873AFE" w:rsidRDefault="00873AFE" w:rsidP="00873AFE">
      <w:pPr>
        <w:pStyle w:val="ListParagraph"/>
        <w:numPr>
          <w:ilvl w:val="0"/>
          <w:numId w:val="40"/>
        </w:numPr>
        <w:spacing w:line="360" w:lineRule="auto"/>
        <w:jc w:val="both"/>
        <w:rPr>
          <w:rFonts w:ascii="Arial" w:hAnsi="Arial" w:cs="Arial"/>
          <w:sz w:val="22"/>
          <w:szCs w:val="22"/>
        </w:rPr>
      </w:pPr>
      <w:r>
        <w:rPr>
          <w:rFonts w:ascii="Arial" w:hAnsi="Arial" w:cs="Arial"/>
          <w:sz w:val="22"/>
          <w:szCs w:val="22"/>
        </w:rPr>
        <w:t>Letting close colleagues go home for the day after they are notified of the death if they wish to do so.</w:t>
      </w:r>
    </w:p>
    <w:p w14:paraId="10C9B34A" w14:textId="254C36A9" w:rsidR="00873AFE" w:rsidRDefault="00873AFE" w:rsidP="00873AFE">
      <w:pPr>
        <w:pStyle w:val="ListParagraph"/>
        <w:numPr>
          <w:ilvl w:val="0"/>
          <w:numId w:val="40"/>
        </w:numPr>
        <w:spacing w:line="360" w:lineRule="auto"/>
        <w:jc w:val="both"/>
        <w:rPr>
          <w:rFonts w:ascii="Arial" w:hAnsi="Arial" w:cs="Arial"/>
          <w:sz w:val="22"/>
          <w:szCs w:val="22"/>
        </w:rPr>
      </w:pPr>
      <w:r w:rsidRPr="00BD54A9">
        <w:rPr>
          <w:rFonts w:ascii="Arial" w:hAnsi="Arial" w:cs="Arial"/>
          <w:sz w:val="22"/>
          <w:szCs w:val="22"/>
        </w:rPr>
        <w:t>Signposting the University counsel</w:t>
      </w:r>
      <w:r w:rsidR="003D08D0">
        <w:rPr>
          <w:rFonts w:ascii="Arial" w:hAnsi="Arial" w:cs="Arial"/>
          <w:sz w:val="22"/>
          <w:szCs w:val="22"/>
        </w:rPr>
        <w:t>l</w:t>
      </w:r>
      <w:r w:rsidRPr="00BD54A9">
        <w:rPr>
          <w:rFonts w:ascii="Arial" w:hAnsi="Arial" w:cs="Arial"/>
          <w:sz w:val="22"/>
          <w:szCs w:val="22"/>
        </w:rPr>
        <w:t xml:space="preserve">ing service to colleagues.  </w:t>
      </w:r>
    </w:p>
    <w:p w14:paraId="24EFC8D2" w14:textId="77777777" w:rsidR="00873AFE" w:rsidRDefault="00873AFE" w:rsidP="00873AFE">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Sending a letter to the next of kin on behalf of the University.  </w:t>
      </w:r>
    </w:p>
    <w:p w14:paraId="1DF7D6D7" w14:textId="77777777" w:rsidR="00873AFE" w:rsidRDefault="00873AFE" w:rsidP="00873AFE">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Communicating information about the funeral arrangements, and allowing as many staff to attend as operationally possible. </w:t>
      </w:r>
    </w:p>
    <w:p w14:paraId="47F9B293" w14:textId="77777777" w:rsidR="00873AFE" w:rsidRPr="00BD54A9" w:rsidRDefault="00873AFE" w:rsidP="00873AFE">
      <w:pPr>
        <w:pStyle w:val="ListParagraph"/>
        <w:numPr>
          <w:ilvl w:val="0"/>
          <w:numId w:val="40"/>
        </w:numPr>
        <w:spacing w:line="360" w:lineRule="auto"/>
        <w:jc w:val="both"/>
        <w:rPr>
          <w:rFonts w:ascii="Arial" w:hAnsi="Arial" w:cs="Arial"/>
          <w:sz w:val="22"/>
          <w:szCs w:val="22"/>
        </w:rPr>
      </w:pPr>
      <w:r>
        <w:rPr>
          <w:rFonts w:ascii="Arial" w:hAnsi="Arial" w:cs="Arial"/>
          <w:sz w:val="22"/>
          <w:szCs w:val="22"/>
        </w:rPr>
        <w:t xml:space="preserve">Consider if there are any external partners, suppliers or regular contacts that should also be notified of the death. </w:t>
      </w:r>
    </w:p>
    <w:p w14:paraId="51447B48" w14:textId="77777777" w:rsidR="00873AFE" w:rsidRPr="00D25138" w:rsidRDefault="00873AFE" w:rsidP="00873AFE">
      <w:pPr>
        <w:pStyle w:val="ListParagraph"/>
        <w:numPr>
          <w:ilvl w:val="0"/>
          <w:numId w:val="39"/>
        </w:numPr>
        <w:spacing w:after="160" w:line="360" w:lineRule="auto"/>
        <w:jc w:val="both"/>
        <w:rPr>
          <w:rFonts w:ascii="Arial" w:hAnsi="Arial" w:cs="Arial"/>
          <w:sz w:val="22"/>
          <w:szCs w:val="22"/>
        </w:rPr>
      </w:pPr>
      <w:r>
        <w:rPr>
          <w:rFonts w:ascii="Arial" w:hAnsi="Arial" w:cs="Arial"/>
          <w:sz w:val="22"/>
          <w:szCs w:val="22"/>
        </w:rPr>
        <w:t xml:space="preserve">Sensitively collecting the personal belongings of the deceased member of staff so that they can be passed to their family at the appropriate time.  </w:t>
      </w:r>
    </w:p>
    <w:p w14:paraId="4B3A56BE" w14:textId="77777777" w:rsidR="00873AFE" w:rsidRDefault="00873AFE" w:rsidP="00873AFE">
      <w:pPr>
        <w:spacing w:line="360" w:lineRule="auto"/>
        <w:jc w:val="both"/>
        <w:rPr>
          <w:rFonts w:ascii="Arial" w:hAnsi="Arial" w:cs="Arial"/>
          <w:sz w:val="22"/>
          <w:szCs w:val="22"/>
        </w:rPr>
      </w:pPr>
    </w:p>
    <w:p w14:paraId="181E8BD8" w14:textId="63FEDB3E" w:rsidR="00873AFE" w:rsidRDefault="003D08D0" w:rsidP="00873AFE">
      <w:pPr>
        <w:spacing w:line="360" w:lineRule="auto"/>
        <w:jc w:val="both"/>
        <w:rPr>
          <w:rFonts w:ascii="Arial" w:hAnsi="Arial" w:cs="Arial"/>
          <w:sz w:val="22"/>
          <w:szCs w:val="22"/>
        </w:rPr>
      </w:pPr>
      <w:r>
        <w:rPr>
          <w:rFonts w:ascii="Arial" w:hAnsi="Arial" w:cs="Arial"/>
          <w:sz w:val="22"/>
          <w:szCs w:val="22"/>
        </w:rPr>
        <w:t>HR</w:t>
      </w:r>
      <w:r w:rsidR="00873AFE">
        <w:rPr>
          <w:rFonts w:ascii="Arial" w:hAnsi="Arial" w:cs="Arial"/>
          <w:sz w:val="22"/>
          <w:szCs w:val="22"/>
        </w:rPr>
        <w:t xml:space="preserve"> </w:t>
      </w:r>
      <w:r w:rsidR="00D06E5A">
        <w:rPr>
          <w:rFonts w:ascii="Arial" w:hAnsi="Arial" w:cs="Arial"/>
          <w:sz w:val="22"/>
          <w:szCs w:val="22"/>
        </w:rPr>
        <w:t xml:space="preserve">Services </w:t>
      </w:r>
      <w:r w:rsidR="00873AFE">
        <w:rPr>
          <w:rFonts w:ascii="Arial" w:hAnsi="Arial" w:cs="Arial"/>
          <w:sz w:val="22"/>
          <w:szCs w:val="22"/>
        </w:rPr>
        <w:t xml:space="preserve">will complete all of the necessary paperwork in relation to benefits such as pensions and death in service payments.  </w:t>
      </w:r>
    </w:p>
    <w:p w14:paraId="66E7A89F" w14:textId="77777777" w:rsidR="00873AFE" w:rsidRPr="00D25138" w:rsidRDefault="00873AFE" w:rsidP="00873AFE">
      <w:pPr>
        <w:spacing w:line="360" w:lineRule="auto"/>
        <w:jc w:val="both"/>
        <w:rPr>
          <w:rFonts w:ascii="Arial" w:hAnsi="Arial" w:cs="Arial"/>
          <w:sz w:val="22"/>
          <w:szCs w:val="22"/>
        </w:rPr>
      </w:pPr>
    </w:p>
    <w:p w14:paraId="7DB584FE" w14:textId="10A9023B" w:rsidR="00873AFE" w:rsidRDefault="00873AFE" w:rsidP="00D06E5A">
      <w:pPr>
        <w:spacing w:line="360" w:lineRule="auto"/>
        <w:jc w:val="both"/>
        <w:rPr>
          <w:rFonts w:ascii="Arial" w:hAnsi="Arial" w:cs="Arial"/>
          <w:sz w:val="28"/>
          <w:szCs w:val="28"/>
        </w:rPr>
      </w:pPr>
      <w:r>
        <w:rPr>
          <w:rFonts w:ascii="Arial" w:hAnsi="Arial" w:cs="Arial"/>
          <w:sz w:val="22"/>
          <w:szCs w:val="22"/>
        </w:rPr>
        <w:t>I</w:t>
      </w:r>
      <w:r w:rsidRPr="00D25138">
        <w:rPr>
          <w:rFonts w:ascii="Arial" w:hAnsi="Arial" w:cs="Arial"/>
          <w:sz w:val="22"/>
          <w:szCs w:val="22"/>
        </w:rPr>
        <w:t>t is important that all appropriate employees are notified as soon as possible.  How the information is communicated will depend on the situation and nature of the roles of colleagues.  Wherever possible, the information should be provided to immediate colleagues / team face to face, either individually or via a small meeting.  Where this is not possible, notification should be by phone. It may be appropriate to issu</w:t>
      </w:r>
      <w:r>
        <w:rPr>
          <w:rFonts w:ascii="Arial" w:hAnsi="Arial" w:cs="Arial"/>
          <w:sz w:val="22"/>
          <w:szCs w:val="22"/>
        </w:rPr>
        <w:t>e a wider email notification to the</w:t>
      </w:r>
      <w:r w:rsidRPr="00D25138">
        <w:rPr>
          <w:rFonts w:ascii="Arial" w:hAnsi="Arial" w:cs="Arial"/>
          <w:sz w:val="22"/>
          <w:szCs w:val="22"/>
        </w:rPr>
        <w:t xml:space="preserve"> faculty / department.  What is appropriate will depend on </w:t>
      </w:r>
      <w:r>
        <w:rPr>
          <w:rFonts w:ascii="Arial" w:hAnsi="Arial" w:cs="Arial"/>
          <w:sz w:val="22"/>
          <w:szCs w:val="22"/>
        </w:rPr>
        <w:t>the circumstances and the role of the member of staff.  HR can provide more guidance if required.</w:t>
      </w:r>
      <w:bookmarkStart w:id="0" w:name="_GoBack"/>
      <w:bookmarkEnd w:id="0"/>
      <w:r w:rsidR="00D06E5A">
        <w:rPr>
          <w:rFonts w:ascii="Arial" w:hAnsi="Arial" w:cs="Arial"/>
          <w:sz w:val="28"/>
          <w:szCs w:val="28"/>
        </w:rPr>
        <w:t xml:space="preserve"> </w:t>
      </w:r>
    </w:p>
    <w:sectPr w:rsidR="00873AFE"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D06E5A">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D06E5A">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1F048A"/>
    <w:multiLevelType w:val="hybridMultilevel"/>
    <w:tmpl w:val="B4A2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313E5A"/>
    <w:multiLevelType w:val="hybridMultilevel"/>
    <w:tmpl w:val="71E8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6"/>
  </w:num>
  <w:num w:numId="3">
    <w:abstractNumId w:val="1"/>
  </w:num>
  <w:num w:numId="4">
    <w:abstractNumId w:val="28"/>
  </w:num>
  <w:num w:numId="5">
    <w:abstractNumId w:val="13"/>
  </w:num>
  <w:num w:numId="6">
    <w:abstractNumId w:val="26"/>
  </w:num>
  <w:num w:numId="7">
    <w:abstractNumId w:val="5"/>
  </w:num>
  <w:num w:numId="8">
    <w:abstractNumId w:val="9"/>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2"/>
  </w:num>
  <w:num w:numId="23">
    <w:abstractNumId w:val="19"/>
  </w:num>
  <w:num w:numId="24">
    <w:abstractNumId w:val="27"/>
  </w:num>
  <w:num w:numId="25">
    <w:abstractNumId w:val="2"/>
  </w:num>
  <w:num w:numId="26">
    <w:abstractNumId w:val="8"/>
  </w:num>
  <w:num w:numId="27">
    <w:abstractNumId w:val="24"/>
  </w:num>
  <w:num w:numId="28">
    <w:abstractNumId w:val="0"/>
  </w:num>
  <w:num w:numId="29">
    <w:abstractNumId w:val="15"/>
  </w:num>
  <w:num w:numId="30">
    <w:abstractNumId w:val="25"/>
  </w:num>
  <w:num w:numId="31">
    <w:abstractNumId w:val="3"/>
  </w:num>
  <w:num w:numId="32">
    <w:abstractNumId w:val="11"/>
  </w:num>
  <w:num w:numId="33">
    <w:abstractNumId w:val="23"/>
  </w:num>
  <w:num w:numId="34">
    <w:abstractNumId w:val="14"/>
  </w:num>
  <w:num w:numId="35">
    <w:abstractNumId w:val="10"/>
  </w:num>
  <w:num w:numId="36">
    <w:abstractNumId w:val="22"/>
  </w:num>
  <w:num w:numId="37">
    <w:abstractNumId w:val="7"/>
  </w:num>
  <w:num w:numId="38">
    <w:abstractNumId w:val="17"/>
  </w:num>
  <w:num w:numId="39">
    <w:abstractNumId w:val="16"/>
  </w:num>
  <w:num w:numId="4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08D0"/>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3AFE"/>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071A"/>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6E5A"/>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49F0E-1EEF-4490-89EB-60139D7A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5</cp:revision>
  <cp:lastPrinted>2014-06-27T10:19:00Z</cp:lastPrinted>
  <dcterms:created xsi:type="dcterms:W3CDTF">2018-03-23T17:20:00Z</dcterms:created>
  <dcterms:modified xsi:type="dcterms:W3CDTF">2018-06-07T14:56:00Z</dcterms:modified>
</cp:coreProperties>
</file>