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A1" w:rsidRPr="00A11C2D" w:rsidRDefault="00593DA1" w:rsidP="00593DA1">
      <w:pPr>
        <w:jc w:val="center"/>
        <w:rPr>
          <w:rFonts w:ascii="Corbel" w:hAnsi="Corbel"/>
          <w:i/>
        </w:rPr>
      </w:pPr>
      <w:proofErr w:type="spellStart"/>
      <w:r w:rsidRPr="00A11C2D">
        <w:rPr>
          <w:rFonts w:ascii="Corbel" w:hAnsi="Corbel"/>
          <w:i/>
        </w:rPr>
        <w:t>SoSS</w:t>
      </w:r>
      <w:proofErr w:type="spellEnd"/>
      <w:r w:rsidRPr="00A11C2D">
        <w:rPr>
          <w:rFonts w:ascii="Corbel" w:hAnsi="Corbel"/>
          <w:i/>
        </w:rPr>
        <w:t xml:space="preserve"> academic advising calendar</w:t>
      </w:r>
    </w:p>
    <w:p w:rsidR="00593DA1" w:rsidRDefault="00593DA1" w:rsidP="00593DA1">
      <w:pPr>
        <w:rPr>
          <w:rFonts w:ascii="Corbel" w:hAnsi="Corbel"/>
        </w:rPr>
      </w:pPr>
    </w:p>
    <w:p w:rsidR="00593DA1" w:rsidRDefault="00593DA1" w:rsidP="00593DA1">
      <w:pPr>
        <w:rPr>
          <w:rFonts w:ascii="Corbel" w:hAnsi="Corbel"/>
        </w:rPr>
      </w:pPr>
    </w:p>
    <w:p w:rsidR="00593DA1" w:rsidRDefault="00593DA1" w:rsidP="00593DA1">
      <w:pPr>
        <w:rPr>
          <w:rFonts w:ascii="Corbel" w:hAnsi="Corbel"/>
        </w:rPr>
      </w:pPr>
      <w:r>
        <w:rPr>
          <w:rFonts w:ascii="Corbel" w:hAnsi="Corbel"/>
        </w:rPr>
        <w:t xml:space="preserve">The exact calendar of academic advising meetings will depend not least upon what year your allocated students are in. The exact dates will be contingent so they can be filled in depending on your exact arrangements. </w:t>
      </w:r>
    </w:p>
    <w:p w:rsidR="00593DA1" w:rsidRDefault="00593DA1" w:rsidP="00593DA1">
      <w:pPr>
        <w:rPr>
          <w:rFonts w:ascii="Corbel" w:hAnsi="Corbel"/>
        </w:rPr>
      </w:pPr>
    </w:p>
    <w:p w:rsidR="00593DA1" w:rsidRDefault="00593DA1" w:rsidP="00593DA1">
      <w:pPr>
        <w:rPr>
          <w:rFonts w:ascii="Corbel" w:hAnsi="Corbel"/>
        </w:rPr>
      </w:pPr>
    </w:p>
    <w:tbl>
      <w:tblPr>
        <w:tblStyle w:val="TableGrid"/>
        <w:tblW w:w="0" w:type="auto"/>
        <w:tblLayout w:type="fixed"/>
        <w:tblLook w:val="04A0" w:firstRow="1" w:lastRow="0" w:firstColumn="1" w:lastColumn="0" w:noHBand="0" w:noVBand="1"/>
      </w:tblPr>
      <w:tblGrid>
        <w:gridCol w:w="1242"/>
        <w:gridCol w:w="3969"/>
        <w:gridCol w:w="4365"/>
      </w:tblGrid>
      <w:tr w:rsidR="00593DA1" w:rsidTr="00131A3C">
        <w:trPr>
          <w:gridAfter w:val="2"/>
          <w:wAfter w:w="8334" w:type="dxa"/>
        </w:trPr>
        <w:tc>
          <w:tcPr>
            <w:tcW w:w="1242" w:type="dxa"/>
          </w:tcPr>
          <w:p w:rsidR="00593DA1" w:rsidRPr="0047267F" w:rsidRDefault="00593DA1" w:rsidP="00131A3C">
            <w:pPr>
              <w:spacing w:after="120"/>
              <w:rPr>
                <w:rFonts w:ascii="Corbel" w:hAnsi="Corbel"/>
                <w:i/>
              </w:rPr>
            </w:pPr>
            <w:r w:rsidRPr="0047267F">
              <w:rPr>
                <w:rFonts w:ascii="Corbel" w:hAnsi="Corbel"/>
                <w:i/>
              </w:rPr>
              <w:t>Dates</w:t>
            </w: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Welcome Week (if possible) or by end of first teaching week</w:t>
            </w:r>
          </w:p>
        </w:tc>
        <w:tc>
          <w:tcPr>
            <w:tcW w:w="4365" w:type="dxa"/>
          </w:tcPr>
          <w:p w:rsidR="00593DA1" w:rsidRDefault="00593DA1" w:rsidP="00131A3C">
            <w:pPr>
              <w:spacing w:after="120"/>
              <w:rPr>
                <w:rFonts w:ascii="Corbel" w:hAnsi="Corbel"/>
              </w:rPr>
            </w:pPr>
            <w:r>
              <w:rPr>
                <w:rFonts w:ascii="Corbel" w:hAnsi="Corbel"/>
              </w:rPr>
              <w:t>Meet with 1</w:t>
            </w:r>
            <w:r w:rsidRPr="0047267F">
              <w:rPr>
                <w:rFonts w:ascii="Corbel" w:hAnsi="Corbel"/>
                <w:vertAlign w:val="superscript"/>
              </w:rPr>
              <w:t>st</w:t>
            </w:r>
            <w:r>
              <w:rPr>
                <w:rFonts w:ascii="Corbel" w:hAnsi="Corbel"/>
              </w:rPr>
              <w:t xml:space="preserve"> year students in group meeting </w:t>
            </w: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Beginning of first semester</w:t>
            </w:r>
          </w:p>
        </w:tc>
        <w:tc>
          <w:tcPr>
            <w:tcW w:w="4365" w:type="dxa"/>
          </w:tcPr>
          <w:p w:rsidR="00593DA1" w:rsidRDefault="00593DA1" w:rsidP="00131A3C">
            <w:pPr>
              <w:spacing w:after="120"/>
              <w:rPr>
                <w:rFonts w:ascii="Corbel" w:hAnsi="Corbel"/>
              </w:rPr>
            </w:pPr>
            <w:r>
              <w:rPr>
                <w:rFonts w:ascii="Corbel" w:hAnsi="Corbel"/>
              </w:rPr>
              <w:t>Meet individually with returning (2</w:t>
            </w:r>
            <w:r w:rsidRPr="000244D3">
              <w:rPr>
                <w:rFonts w:ascii="Corbel" w:hAnsi="Corbel"/>
                <w:vertAlign w:val="superscript"/>
              </w:rPr>
              <w:t>nd</w:t>
            </w:r>
            <w:r>
              <w:rPr>
                <w:rFonts w:ascii="Corbel" w:hAnsi="Corbel"/>
              </w:rPr>
              <w:t xml:space="preserve"> and 3</w:t>
            </w:r>
            <w:r w:rsidRPr="000244D3">
              <w:rPr>
                <w:rFonts w:ascii="Corbel" w:hAnsi="Corbel"/>
                <w:vertAlign w:val="superscript"/>
              </w:rPr>
              <w:t>rd</w:t>
            </w:r>
            <w:r>
              <w:rPr>
                <w:rFonts w:ascii="Corbel" w:hAnsi="Corbel"/>
              </w:rPr>
              <w:t xml:space="preserve"> year) students </w:t>
            </w: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By end of the second full week of teaching</w:t>
            </w:r>
          </w:p>
        </w:tc>
        <w:tc>
          <w:tcPr>
            <w:tcW w:w="4365" w:type="dxa"/>
          </w:tcPr>
          <w:p w:rsidR="00593DA1" w:rsidRDefault="00593DA1" w:rsidP="00131A3C">
            <w:pPr>
              <w:spacing w:after="120"/>
              <w:rPr>
                <w:rFonts w:ascii="Corbel" w:hAnsi="Corbel"/>
              </w:rPr>
            </w:pPr>
            <w:r>
              <w:rPr>
                <w:rFonts w:ascii="Corbel" w:hAnsi="Corbel"/>
              </w:rPr>
              <w:t>Meet individually with 1</w:t>
            </w:r>
            <w:r w:rsidRPr="0047267F">
              <w:rPr>
                <w:rFonts w:ascii="Corbel" w:hAnsi="Corbel"/>
                <w:vertAlign w:val="superscript"/>
              </w:rPr>
              <w:t>st</w:t>
            </w:r>
            <w:r>
              <w:rPr>
                <w:rFonts w:ascii="Corbel" w:hAnsi="Corbel"/>
              </w:rPr>
              <w:t xml:space="preserve"> year students </w:t>
            </w: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Week five of second semester</w:t>
            </w:r>
          </w:p>
        </w:tc>
        <w:tc>
          <w:tcPr>
            <w:tcW w:w="4365" w:type="dxa"/>
          </w:tcPr>
          <w:p w:rsidR="00593DA1" w:rsidRDefault="00593DA1" w:rsidP="00131A3C">
            <w:pPr>
              <w:spacing w:after="120"/>
              <w:rPr>
                <w:rFonts w:ascii="Corbel" w:hAnsi="Corbel"/>
              </w:rPr>
            </w:pPr>
            <w:r>
              <w:rPr>
                <w:rFonts w:ascii="Corbel" w:hAnsi="Corbel"/>
              </w:rPr>
              <w:t>Meet individually with 1</w:t>
            </w:r>
            <w:r w:rsidRPr="0047267F">
              <w:rPr>
                <w:rFonts w:ascii="Corbel" w:hAnsi="Corbel"/>
                <w:vertAlign w:val="superscript"/>
              </w:rPr>
              <w:t>st</w:t>
            </w:r>
            <w:r>
              <w:rPr>
                <w:rFonts w:ascii="Corbel" w:hAnsi="Corbel"/>
              </w:rPr>
              <w:t xml:space="preserve"> year students for exam review</w:t>
            </w:r>
          </w:p>
          <w:p w:rsidR="00593DA1" w:rsidRDefault="00593DA1" w:rsidP="00131A3C">
            <w:pPr>
              <w:spacing w:after="120"/>
              <w:rPr>
                <w:rFonts w:ascii="Corbel" w:hAnsi="Corbel"/>
              </w:rPr>
            </w:pPr>
            <w:r>
              <w:rPr>
                <w:rFonts w:ascii="Corbel" w:hAnsi="Corbel"/>
              </w:rPr>
              <w:t>Meet individually with 2</w:t>
            </w:r>
            <w:r w:rsidRPr="0047267F">
              <w:rPr>
                <w:rFonts w:ascii="Corbel" w:hAnsi="Corbel"/>
                <w:vertAlign w:val="superscript"/>
              </w:rPr>
              <w:t>nd</w:t>
            </w:r>
            <w:r>
              <w:rPr>
                <w:rFonts w:ascii="Corbel" w:hAnsi="Corbel"/>
              </w:rPr>
              <w:t xml:space="preserve"> and / or 3</w:t>
            </w:r>
            <w:r w:rsidRPr="0047267F">
              <w:rPr>
                <w:rFonts w:ascii="Corbel" w:hAnsi="Corbel"/>
                <w:vertAlign w:val="superscript"/>
              </w:rPr>
              <w:t>rd</w:t>
            </w:r>
            <w:r>
              <w:rPr>
                <w:rFonts w:ascii="Corbel" w:hAnsi="Corbel"/>
              </w:rPr>
              <w:t xml:space="preserve"> year students </w:t>
            </w: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p>
        </w:tc>
        <w:tc>
          <w:tcPr>
            <w:tcW w:w="4365" w:type="dxa"/>
          </w:tcPr>
          <w:p w:rsidR="00593DA1" w:rsidRDefault="00593DA1" w:rsidP="00131A3C">
            <w:pPr>
              <w:spacing w:after="120"/>
              <w:rPr>
                <w:rFonts w:ascii="Corbel" w:hAnsi="Corbel"/>
              </w:rPr>
            </w:pP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Options meetings</w:t>
            </w:r>
          </w:p>
        </w:tc>
        <w:tc>
          <w:tcPr>
            <w:tcW w:w="4365" w:type="dxa"/>
          </w:tcPr>
          <w:p w:rsidR="00593DA1" w:rsidRDefault="00593DA1" w:rsidP="00131A3C">
            <w:pPr>
              <w:spacing w:after="120"/>
              <w:rPr>
                <w:rFonts w:ascii="Corbel" w:hAnsi="Corbel"/>
              </w:rPr>
            </w:pP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Mitigation deadlines</w:t>
            </w:r>
          </w:p>
        </w:tc>
        <w:tc>
          <w:tcPr>
            <w:tcW w:w="4365" w:type="dxa"/>
          </w:tcPr>
          <w:p w:rsidR="00593DA1" w:rsidRDefault="00593DA1" w:rsidP="00131A3C">
            <w:pPr>
              <w:spacing w:after="120"/>
              <w:rPr>
                <w:rFonts w:ascii="Corbel" w:hAnsi="Corbel"/>
              </w:rPr>
            </w:pP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Deadline for changing courses</w:t>
            </w:r>
          </w:p>
        </w:tc>
        <w:tc>
          <w:tcPr>
            <w:tcW w:w="4365" w:type="dxa"/>
          </w:tcPr>
          <w:p w:rsidR="00593DA1" w:rsidRDefault="00593DA1" w:rsidP="00131A3C">
            <w:pPr>
              <w:spacing w:after="120"/>
              <w:rPr>
                <w:rFonts w:ascii="Corbel" w:hAnsi="Corbel"/>
              </w:rPr>
            </w:pP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sidRPr="0047267F">
              <w:rPr>
                <w:rFonts w:ascii="Corbel" w:hAnsi="Corbel"/>
                <w:i/>
              </w:rPr>
              <w:t xml:space="preserve">Deadlines for registration </w:t>
            </w:r>
          </w:p>
        </w:tc>
        <w:tc>
          <w:tcPr>
            <w:tcW w:w="4365" w:type="dxa"/>
          </w:tcPr>
          <w:p w:rsidR="00593DA1" w:rsidRDefault="00593DA1" w:rsidP="00131A3C">
            <w:pPr>
              <w:spacing w:after="120"/>
              <w:rPr>
                <w:rFonts w:ascii="Corbel" w:hAnsi="Corbel"/>
              </w:rPr>
            </w:pPr>
          </w:p>
        </w:tc>
      </w:tr>
      <w:tr w:rsidR="00593DA1" w:rsidTr="00131A3C">
        <w:tc>
          <w:tcPr>
            <w:tcW w:w="1242" w:type="dxa"/>
          </w:tcPr>
          <w:p w:rsidR="00593DA1" w:rsidRDefault="00593DA1" w:rsidP="00131A3C">
            <w:pPr>
              <w:spacing w:after="120"/>
              <w:rPr>
                <w:rFonts w:ascii="Corbel" w:hAnsi="Corbel"/>
              </w:rPr>
            </w:pPr>
          </w:p>
        </w:tc>
        <w:tc>
          <w:tcPr>
            <w:tcW w:w="3969" w:type="dxa"/>
          </w:tcPr>
          <w:p w:rsidR="00593DA1" w:rsidRPr="0047267F" w:rsidRDefault="00593DA1" w:rsidP="00131A3C">
            <w:pPr>
              <w:spacing w:after="120"/>
              <w:rPr>
                <w:rFonts w:ascii="Corbel" w:hAnsi="Corbel"/>
                <w:i/>
              </w:rPr>
            </w:pPr>
            <w:r>
              <w:rPr>
                <w:rFonts w:ascii="Corbel" w:hAnsi="Corbel"/>
                <w:i/>
              </w:rPr>
              <w:t xml:space="preserve">Results published </w:t>
            </w:r>
          </w:p>
        </w:tc>
        <w:tc>
          <w:tcPr>
            <w:tcW w:w="4365" w:type="dxa"/>
          </w:tcPr>
          <w:p w:rsidR="00593DA1" w:rsidRDefault="00593DA1" w:rsidP="00131A3C">
            <w:pPr>
              <w:spacing w:after="120"/>
              <w:rPr>
                <w:rFonts w:ascii="Corbel" w:hAnsi="Corbel"/>
              </w:rPr>
            </w:pPr>
          </w:p>
        </w:tc>
      </w:tr>
    </w:tbl>
    <w:p w:rsidR="00593DA1" w:rsidRDefault="00593DA1" w:rsidP="00593DA1">
      <w:pPr>
        <w:rPr>
          <w:rFonts w:ascii="Corbel" w:hAnsi="Corbel"/>
        </w:rPr>
      </w:pPr>
    </w:p>
    <w:p w:rsidR="00593DA1" w:rsidRDefault="00593DA1" w:rsidP="00593DA1">
      <w:pPr>
        <w:rPr>
          <w:rFonts w:ascii="Corbel" w:hAnsi="Corbel"/>
        </w:rPr>
      </w:pPr>
    </w:p>
    <w:p w:rsidR="00593DA1" w:rsidRPr="00347501" w:rsidRDefault="00593DA1" w:rsidP="00593DA1">
      <w:pPr>
        <w:rPr>
          <w:rFonts w:ascii="Corbel" w:hAnsi="Corbel"/>
        </w:rPr>
      </w:pPr>
      <w:r>
        <w:rPr>
          <w:rFonts w:ascii="Corbel" w:hAnsi="Corbel"/>
        </w:rPr>
        <w:t xml:space="preserve">See also this document on “key transitions during the student life-cycle”: </w:t>
      </w:r>
      <w:hyperlink r:id="rId5" w:history="1">
        <w:r w:rsidRPr="00F8036E">
          <w:rPr>
            <w:rStyle w:val="Hyperlink"/>
            <w:rFonts w:ascii="Corbel" w:hAnsi="Corbel"/>
          </w:rPr>
          <w:t>http://documents.manchester.ac.uk/display.aspx?DocID=9799</w:t>
        </w:r>
      </w:hyperlink>
      <w:r>
        <w:rPr>
          <w:rFonts w:ascii="Corbel" w:hAnsi="Corbel"/>
        </w:rPr>
        <w:t xml:space="preserve">. </w:t>
      </w:r>
    </w:p>
    <w:p w:rsidR="00593DA1" w:rsidRDefault="00593DA1" w:rsidP="00593DA1"/>
    <w:p w:rsidR="00A84500" w:rsidRDefault="00A84500">
      <w:bookmarkStart w:id="0" w:name="_GoBack"/>
      <w:bookmarkEnd w:id="0"/>
    </w:p>
    <w:sectPr w:rsidR="00A84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A1"/>
    <w:rsid w:val="00593DA1"/>
    <w:rsid w:val="00A8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DA1"/>
    <w:rPr>
      <w:color w:val="0000FF" w:themeColor="hyperlink"/>
      <w:u w:val="single"/>
    </w:rPr>
  </w:style>
  <w:style w:type="table" w:styleId="TableGrid">
    <w:name w:val="Table Grid"/>
    <w:basedOn w:val="TableNormal"/>
    <w:uiPriority w:val="59"/>
    <w:rsid w:val="00593D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DA1"/>
    <w:rPr>
      <w:color w:val="0000FF" w:themeColor="hyperlink"/>
      <w:u w:val="single"/>
    </w:rPr>
  </w:style>
  <w:style w:type="table" w:styleId="TableGrid">
    <w:name w:val="Table Grid"/>
    <w:basedOn w:val="TableNormal"/>
    <w:uiPriority w:val="59"/>
    <w:rsid w:val="00593D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uments.manchester.ac.uk/display.aspx?DocID=97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Cummins</dc:creator>
  <cp:lastModifiedBy>Sian Cummins</cp:lastModifiedBy>
  <cp:revision>1</cp:revision>
  <dcterms:created xsi:type="dcterms:W3CDTF">2017-09-29T13:20:00Z</dcterms:created>
  <dcterms:modified xsi:type="dcterms:W3CDTF">2017-09-29T13:20:00Z</dcterms:modified>
</cp:coreProperties>
</file>