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84" w:rsidRPr="00DA1246" w:rsidRDefault="00DC3984" w:rsidP="00DC3984">
      <w:pPr>
        <w:pStyle w:val="Heading1"/>
      </w:pPr>
      <w:bookmarkStart w:id="0" w:name="_Toc25747600"/>
      <w:r w:rsidRPr="00DA1246">
        <w:t>Mapping of the UK Professional Standards Framework (UKPSF)</w:t>
      </w:r>
      <w:bookmarkEnd w:id="0"/>
      <w:r w:rsidR="00F14ADB">
        <w:t xml:space="preserve"> </w:t>
      </w:r>
      <w:r w:rsidR="00E16117">
        <w:t>–</w:t>
      </w:r>
      <w:r w:rsidR="00F14ADB">
        <w:t xml:space="preserve"> Fellow</w:t>
      </w:r>
      <w:r w:rsidR="00E16117">
        <w:t xml:space="preserve"> (D2)</w:t>
      </w:r>
    </w:p>
    <w:p w:rsidR="00FF46AE" w:rsidRPr="00FF46AE" w:rsidRDefault="00FF46AE" w:rsidP="00FF46AE">
      <w:pPr>
        <w:spacing w:after="200" w:line="276" w:lineRule="auto"/>
        <w:contextualSpacing/>
      </w:pPr>
      <w:r>
        <w:t xml:space="preserve">To complete your </w:t>
      </w:r>
      <w:r w:rsidR="00F14ADB">
        <w:t xml:space="preserve">LEAP application </w:t>
      </w:r>
      <w:r w:rsidR="00DC3984" w:rsidRPr="003747AE">
        <w:t xml:space="preserve">it is essential that you provide evidence of how you meet the </w:t>
      </w:r>
      <w:r w:rsidR="00DC3984">
        <w:t xml:space="preserve">UK </w:t>
      </w:r>
      <w:r w:rsidR="00DC3984" w:rsidRPr="003747AE">
        <w:t>Professional Standards Framework</w:t>
      </w:r>
      <w:r w:rsidR="00DC3984">
        <w:t xml:space="preserve"> </w:t>
      </w:r>
      <w:r>
        <w:t xml:space="preserve">(UKPSF) </w:t>
      </w:r>
      <w:r w:rsidR="00DC3984">
        <w:t>at</w:t>
      </w:r>
      <w:r w:rsidR="00F14ADB">
        <w:t xml:space="preserve"> the required</w:t>
      </w:r>
      <w:r>
        <w:t xml:space="preserve"> descriptor l</w:t>
      </w:r>
      <w:r w:rsidR="00DC3984">
        <w:t>evel</w:t>
      </w:r>
      <w:r w:rsidR="00DC3984" w:rsidRPr="003747AE">
        <w:t xml:space="preserve">. </w:t>
      </w:r>
      <w:r>
        <w:rPr>
          <w:rFonts w:cs="Arial"/>
          <w:bCs/>
          <w:iCs/>
        </w:rPr>
        <w:t xml:space="preserve">This mapping exercise enables you to capture your evidence </w:t>
      </w:r>
      <w:r w:rsidRPr="00CB6A56">
        <w:rPr>
          <w:rFonts w:asciiTheme="minorHAnsi" w:hAnsiTheme="minorHAnsi"/>
        </w:rPr>
        <w:t xml:space="preserve">against the relevant </w:t>
      </w:r>
      <w:r w:rsidR="00F14ADB">
        <w:rPr>
          <w:rFonts w:asciiTheme="minorHAnsi" w:hAnsiTheme="minorHAnsi"/>
        </w:rPr>
        <w:t xml:space="preserve">descriptor and </w:t>
      </w:r>
      <w:r w:rsidRPr="00CB6A56">
        <w:rPr>
          <w:rFonts w:asciiTheme="minorHAnsi" w:hAnsiTheme="minorHAnsi"/>
        </w:rPr>
        <w:t xml:space="preserve">criteria of the UKPSF </w:t>
      </w:r>
      <w:r w:rsidR="00E16117">
        <w:rPr>
          <w:rFonts w:asciiTheme="minorHAnsi" w:hAnsiTheme="minorHAnsi"/>
        </w:rPr>
        <w:t xml:space="preserve">for Fellow (FHEA/D2) </w:t>
      </w:r>
      <w:r>
        <w:rPr>
          <w:rFonts w:asciiTheme="minorHAnsi" w:hAnsiTheme="minorHAnsi"/>
        </w:rPr>
        <w:t xml:space="preserve">and is to be submitted together with your </w:t>
      </w:r>
      <w:r w:rsidR="00F14ADB">
        <w:rPr>
          <w:rFonts w:asciiTheme="minorHAnsi" w:hAnsiTheme="minorHAnsi"/>
        </w:rPr>
        <w:t>LEAP application</w:t>
      </w:r>
      <w:r>
        <w:rPr>
          <w:rFonts w:asciiTheme="minorHAnsi" w:hAnsiTheme="minorHAnsi"/>
        </w:rPr>
        <w:t xml:space="preserve">.  </w:t>
      </w:r>
    </w:p>
    <w:p w:rsidR="00FF46AE" w:rsidRDefault="00FF46AE" w:rsidP="00DC3984"/>
    <w:p w:rsidR="00E16117" w:rsidRDefault="00FF46AE" w:rsidP="00FF46AE">
      <w:pPr>
        <w:pStyle w:val="ListParagraph"/>
        <w:spacing w:after="200" w:line="276" w:lineRule="auto"/>
        <w:ind w:left="0"/>
        <w:contextualSpacing/>
        <w:rPr>
          <w:rFonts w:asciiTheme="minorHAnsi" w:hAnsiTheme="minorHAnsi" w:cs="Arial"/>
          <w:bCs/>
          <w:iCs/>
        </w:rPr>
      </w:pPr>
      <w:r>
        <w:rPr>
          <w:rFonts w:asciiTheme="minorHAnsi" w:hAnsiTheme="minorHAnsi" w:cs="Arial"/>
          <w:bCs/>
          <w:iCs/>
        </w:rPr>
        <w:t xml:space="preserve">Please note that the </w:t>
      </w:r>
      <w:r w:rsidRPr="00CB6A56">
        <w:rPr>
          <w:rFonts w:asciiTheme="minorHAnsi" w:hAnsiTheme="minorHAnsi" w:cs="Arial"/>
          <w:bCs/>
          <w:iCs/>
        </w:rPr>
        <w:t xml:space="preserve">mapping exercise </w:t>
      </w:r>
      <w:r>
        <w:rPr>
          <w:rFonts w:asciiTheme="minorHAnsi" w:hAnsiTheme="minorHAnsi" w:cs="Arial"/>
          <w:bCs/>
          <w:iCs/>
        </w:rPr>
        <w:t>should</w:t>
      </w:r>
      <w:r w:rsidRPr="00CB6A56">
        <w:rPr>
          <w:rFonts w:asciiTheme="minorHAnsi" w:hAnsiTheme="minorHAnsi" w:cs="Arial"/>
          <w:bCs/>
          <w:iCs/>
        </w:rPr>
        <w:t xml:space="preserve"> </w:t>
      </w:r>
      <w:r w:rsidRPr="00CB6A56">
        <w:rPr>
          <w:rFonts w:asciiTheme="minorHAnsi" w:hAnsiTheme="minorHAnsi" w:cs="Arial"/>
          <w:b/>
          <w:bCs/>
          <w:iCs/>
          <w:u w:val="single"/>
        </w:rPr>
        <w:t>not</w:t>
      </w:r>
      <w:r w:rsidRPr="00CB6A56">
        <w:rPr>
          <w:rFonts w:asciiTheme="minorHAnsi" w:hAnsiTheme="minorHAnsi" w:cs="Arial"/>
          <w:bCs/>
          <w:iCs/>
        </w:rPr>
        <w:t xml:space="preserve"> be the equivalent </w:t>
      </w:r>
      <w:r>
        <w:rPr>
          <w:rFonts w:asciiTheme="minorHAnsi" w:hAnsiTheme="minorHAnsi" w:cs="Arial"/>
          <w:bCs/>
          <w:iCs/>
        </w:rPr>
        <w:t>of</w:t>
      </w:r>
      <w:r w:rsidRPr="00CB6A56">
        <w:rPr>
          <w:rFonts w:asciiTheme="minorHAnsi" w:hAnsiTheme="minorHAnsi" w:cs="Arial"/>
          <w:bCs/>
          <w:iCs/>
        </w:rPr>
        <w:t xml:space="preserve"> a further </w:t>
      </w:r>
      <w:r w:rsidR="00F14ADB">
        <w:rPr>
          <w:rFonts w:asciiTheme="minorHAnsi" w:hAnsiTheme="minorHAnsi" w:cs="Arial"/>
          <w:bCs/>
          <w:iCs/>
        </w:rPr>
        <w:t xml:space="preserve">application </w:t>
      </w:r>
      <w:r>
        <w:rPr>
          <w:rFonts w:asciiTheme="minorHAnsi" w:hAnsiTheme="minorHAnsi" w:cs="Arial"/>
          <w:bCs/>
          <w:iCs/>
        </w:rPr>
        <w:t xml:space="preserve">and therefore </w:t>
      </w:r>
      <w:r w:rsidRPr="00FF46AE">
        <w:rPr>
          <w:rFonts w:asciiTheme="minorHAnsi" w:hAnsiTheme="minorHAnsi" w:cs="Arial"/>
          <w:b/>
          <w:bCs/>
          <w:iCs/>
          <w:u w:val="single"/>
        </w:rPr>
        <w:t>critical reflection is not required</w:t>
      </w:r>
      <w:r w:rsidRPr="00CB6A56">
        <w:rPr>
          <w:rFonts w:asciiTheme="minorHAnsi" w:hAnsiTheme="minorHAnsi" w:cs="Arial"/>
          <w:bCs/>
          <w:iCs/>
        </w:rPr>
        <w:t>. It is a</w:t>
      </w:r>
      <w:r>
        <w:rPr>
          <w:rFonts w:asciiTheme="minorHAnsi" w:hAnsiTheme="minorHAnsi" w:cs="Arial"/>
          <w:bCs/>
          <w:iCs/>
        </w:rPr>
        <w:t xml:space="preserve">n opportunity for you to signpost </w:t>
      </w:r>
      <w:r w:rsidRPr="00CB6A56">
        <w:rPr>
          <w:rFonts w:asciiTheme="minorHAnsi" w:hAnsiTheme="minorHAnsi" w:cs="Arial"/>
          <w:bCs/>
          <w:iCs/>
        </w:rPr>
        <w:t xml:space="preserve">the assessors to </w:t>
      </w:r>
      <w:r>
        <w:rPr>
          <w:rFonts w:asciiTheme="minorHAnsi" w:hAnsiTheme="minorHAnsi" w:cs="Arial"/>
          <w:bCs/>
          <w:iCs/>
        </w:rPr>
        <w:t>the sections of your portfolio</w:t>
      </w:r>
      <w:r w:rsidR="00F14ADB">
        <w:rPr>
          <w:rFonts w:asciiTheme="minorHAnsi" w:hAnsiTheme="minorHAnsi" w:cs="Arial"/>
          <w:bCs/>
          <w:iCs/>
        </w:rPr>
        <w:t xml:space="preserve"> or presentation</w:t>
      </w:r>
      <w:r>
        <w:rPr>
          <w:rFonts w:asciiTheme="minorHAnsi" w:hAnsiTheme="minorHAnsi" w:cs="Arial"/>
          <w:bCs/>
          <w:iCs/>
        </w:rPr>
        <w:t xml:space="preserve"> wh</w:t>
      </w:r>
      <w:r w:rsidRPr="00CB6A56">
        <w:rPr>
          <w:rFonts w:asciiTheme="minorHAnsi" w:hAnsiTheme="minorHAnsi" w:cs="Arial"/>
          <w:bCs/>
          <w:iCs/>
        </w:rPr>
        <w:t>ere you have fulfilled the UKPSF</w:t>
      </w:r>
      <w:r>
        <w:rPr>
          <w:rFonts w:asciiTheme="minorHAnsi" w:hAnsiTheme="minorHAnsi" w:cs="Arial"/>
          <w:bCs/>
          <w:iCs/>
        </w:rPr>
        <w:t xml:space="preserve"> and to note additional, relevant experience where you wish to do so.</w:t>
      </w:r>
      <w:r w:rsidRPr="00CB6A56">
        <w:rPr>
          <w:rFonts w:asciiTheme="minorHAnsi" w:hAnsiTheme="minorHAnsi" w:cs="Arial"/>
          <w:bCs/>
          <w:iCs/>
        </w:rPr>
        <w:t xml:space="preserve"> Bullet points are pre</w:t>
      </w:r>
      <w:r>
        <w:rPr>
          <w:rFonts w:asciiTheme="minorHAnsi" w:hAnsiTheme="minorHAnsi" w:cs="Arial"/>
          <w:bCs/>
          <w:iCs/>
        </w:rPr>
        <w:t xml:space="preserve">ferred. </w:t>
      </w:r>
    </w:p>
    <w:p w:rsidR="00E16117" w:rsidRDefault="00E16117" w:rsidP="00FF46AE">
      <w:pPr>
        <w:pStyle w:val="ListParagraph"/>
        <w:spacing w:after="200" w:line="276" w:lineRule="auto"/>
        <w:ind w:left="0"/>
        <w:contextualSpacing/>
        <w:rPr>
          <w:rFonts w:asciiTheme="minorHAnsi" w:hAnsiTheme="minorHAnsi" w:cs="Arial"/>
          <w:bCs/>
          <w:iCs/>
        </w:rPr>
      </w:pPr>
    </w:p>
    <w:p w:rsidR="00FF46AE" w:rsidRPr="00CB6A56" w:rsidRDefault="00FF46AE" w:rsidP="00FF46AE">
      <w:pPr>
        <w:pStyle w:val="ListParagraph"/>
        <w:spacing w:after="200" w:line="276" w:lineRule="auto"/>
        <w:ind w:left="0"/>
        <w:contextualSpacing/>
        <w:rPr>
          <w:rFonts w:asciiTheme="minorHAnsi" w:hAnsiTheme="minorHAnsi" w:cs="Arial"/>
          <w:bCs/>
          <w:iCs/>
        </w:rPr>
      </w:pPr>
      <w:r w:rsidRPr="000844C7">
        <w:rPr>
          <w:rFonts w:asciiTheme="minorHAnsi" w:hAnsiTheme="minorHAnsi" w:cs="Arial"/>
          <w:bCs/>
          <w:iCs/>
        </w:rPr>
        <w:t>The</w:t>
      </w:r>
      <w:r w:rsidRPr="00B57252">
        <w:rPr>
          <w:rFonts w:asciiTheme="minorHAnsi" w:hAnsiTheme="minorHAnsi" w:cs="Arial"/>
          <w:b/>
          <w:bCs/>
          <w:iCs/>
        </w:rPr>
        <w:t xml:space="preserve"> </w:t>
      </w:r>
      <w:r>
        <w:rPr>
          <w:rFonts w:asciiTheme="minorHAnsi" w:hAnsiTheme="minorHAnsi" w:cs="Arial"/>
          <w:b/>
          <w:bCs/>
          <w:iCs/>
        </w:rPr>
        <w:t>mapping exerc</w:t>
      </w:r>
      <w:r w:rsidR="00F14ADB">
        <w:rPr>
          <w:rFonts w:asciiTheme="minorHAnsi" w:hAnsiTheme="minorHAnsi" w:cs="Arial"/>
          <w:b/>
          <w:bCs/>
          <w:iCs/>
        </w:rPr>
        <w:t>ise document should not exceed five</w:t>
      </w:r>
      <w:r w:rsidRPr="00B57252">
        <w:rPr>
          <w:rFonts w:asciiTheme="minorHAnsi" w:hAnsiTheme="minorHAnsi" w:cs="Arial"/>
          <w:b/>
          <w:bCs/>
          <w:iCs/>
        </w:rPr>
        <w:t xml:space="preserve"> sides of A4 </w:t>
      </w:r>
      <w:r>
        <w:rPr>
          <w:rFonts w:asciiTheme="minorHAnsi" w:hAnsiTheme="minorHAnsi" w:cs="Arial"/>
          <w:bCs/>
          <w:iCs/>
        </w:rPr>
        <w:t xml:space="preserve">and the </w:t>
      </w:r>
      <w:r w:rsidRPr="000844C7">
        <w:rPr>
          <w:rFonts w:asciiTheme="minorHAnsi" w:hAnsiTheme="minorHAnsi" w:cs="Arial"/>
          <w:b/>
          <w:bCs/>
          <w:iCs/>
        </w:rPr>
        <w:t>font size should be no smaller than 10</w:t>
      </w:r>
      <w:r>
        <w:rPr>
          <w:rFonts w:asciiTheme="minorHAnsi" w:hAnsiTheme="minorHAnsi" w:cs="Arial"/>
          <w:bCs/>
          <w:iCs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9722"/>
        <w:gridCol w:w="2314"/>
      </w:tblGrid>
      <w:tr w:rsidR="00DC3984" w:rsidRPr="003747AE" w:rsidTr="00F14ADB">
        <w:tc>
          <w:tcPr>
            <w:tcW w:w="1089" w:type="pct"/>
            <w:shd w:val="clear" w:color="auto" w:fill="B8CCE4"/>
          </w:tcPr>
          <w:p w:rsidR="00DC3984" w:rsidRDefault="00DC3984" w:rsidP="004D4FE9">
            <w:pPr>
              <w:rPr>
                <w:rFonts w:cs="Arial"/>
                <w:b/>
                <w:bCs/>
              </w:rPr>
            </w:pPr>
            <w:r w:rsidRPr="00B47EBE">
              <w:rPr>
                <w:rFonts w:cs="Arial"/>
                <w:b/>
                <w:bCs/>
              </w:rPr>
              <w:t>I.</w:t>
            </w:r>
            <w:r>
              <w:rPr>
                <w:rFonts w:cs="Arial"/>
                <w:b/>
                <w:bCs/>
              </w:rPr>
              <w:t xml:space="preserve"> Successful engagement across all five areas of a</w:t>
            </w:r>
            <w:r w:rsidRPr="003747AE">
              <w:rPr>
                <w:rFonts w:cs="Arial"/>
                <w:b/>
                <w:bCs/>
              </w:rPr>
              <w:t>ctivity</w:t>
            </w:r>
          </w:p>
          <w:p w:rsidR="00DC3984" w:rsidRPr="003747AE" w:rsidRDefault="00DC3984" w:rsidP="004D4FE9">
            <w:pPr>
              <w:rPr>
                <w:rFonts w:cs="Arial"/>
                <w:b/>
                <w:bCs/>
              </w:rPr>
            </w:pPr>
            <w:r w:rsidRPr="00090D16">
              <w:rPr>
                <w:rFonts w:cs="Arial"/>
                <w:b/>
                <w:iCs/>
              </w:rPr>
              <w:t>IV. Successful engagement in appropriate teaching practices related to the Areas of Activity</w:t>
            </w:r>
          </w:p>
        </w:tc>
        <w:tc>
          <w:tcPr>
            <w:tcW w:w="3159" w:type="pct"/>
            <w:shd w:val="clear" w:color="auto" w:fill="B8CCE4"/>
            <w:vAlign w:val="center"/>
          </w:tcPr>
          <w:p w:rsidR="00DC3984" w:rsidRPr="003747AE" w:rsidRDefault="00AF249A" w:rsidP="00F14AD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Identify </w:t>
            </w:r>
            <w:r w:rsidR="00DC3984" w:rsidRPr="002109BE">
              <w:rPr>
                <w:rFonts w:cs="Arial"/>
                <w:b/>
                <w:bCs/>
              </w:rPr>
              <w:t xml:space="preserve">where you </w:t>
            </w:r>
            <w:r w:rsidR="00DC3984">
              <w:rPr>
                <w:rFonts w:cs="Arial"/>
                <w:b/>
                <w:bCs/>
              </w:rPr>
              <w:t xml:space="preserve">have </w:t>
            </w:r>
            <w:r w:rsidR="00DC3984" w:rsidRPr="002109BE">
              <w:rPr>
                <w:rFonts w:cs="Arial"/>
                <w:b/>
                <w:bCs/>
              </w:rPr>
              <w:t>demonstrated this in the programme</w:t>
            </w:r>
            <w:r w:rsidR="00DC3984">
              <w:rPr>
                <w:rFonts w:cs="Arial"/>
                <w:b/>
                <w:bCs/>
              </w:rPr>
              <w:t>, through your academic duties and within your portfolio. Ensure you demonstrate a breadth of practice.</w:t>
            </w:r>
          </w:p>
        </w:tc>
        <w:tc>
          <w:tcPr>
            <w:tcW w:w="752" w:type="pct"/>
            <w:shd w:val="clear" w:color="auto" w:fill="B8CCE4"/>
            <w:vAlign w:val="center"/>
          </w:tcPr>
          <w:p w:rsidR="00DC3984" w:rsidRPr="003747AE" w:rsidRDefault="00DC3984" w:rsidP="00F14AD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Cross reference to p</w:t>
            </w:r>
            <w:r w:rsidRPr="003747AE">
              <w:rPr>
                <w:rFonts w:cs="Arial"/>
                <w:b/>
                <w:bCs/>
              </w:rPr>
              <w:t xml:space="preserve">ortfolio </w:t>
            </w:r>
            <w:r>
              <w:rPr>
                <w:rFonts w:cs="Arial"/>
                <w:b/>
                <w:bCs/>
              </w:rPr>
              <w:t>p</w:t>
            </w:r>
            <w:r w:rsidR="00F14ADB">
              <w:rPr>
                <w:rFonts w:cs="Arial"/>
                <w:b/>
                <w:bCs/>
              </w:rPr>
              <w:t xml:space="preserve">age/slide </w:t>
            </w:r>
            <w:r>
              <w:rPr>
                <w:rFonts w:cs="Arial"/>
                <w:b/>
                <w:bCs/>
              </w:rPr>
              <w:t>number where appropriate</w:t>
            </w: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A1: Design and plan learning activities and/or programmes of study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  <w:bookmarkStart w:id="1" w:name="_GoBack"/>
            <w:bookmarkEnd w:id="1"/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A2: Teach and/or support learning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A3: Assess and give feedback to learners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A4: Develop effective learning environments and approaches to student support and guidance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E16117"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A5: Engage in continuing professional development in subjects/disciplines and their pedagogy, incorporating </w:t>
            </w:r>
            <w:r w:rsidRPr="003747AE">
              <w:rPr>
                <w:rFonts w:cs="Arial"/>
                <w:i/>
                <w:iCs/>
              </w:rPr>
              <w:lastRenderedPageBreak/>
              <w:t>research, scholarship and the evaluation of professional practices.</w:t>
            </w:r>
          </w:p>
        </w:tc>
        <w:tc>
          <w:tcPr>
            <w:tcW w:w="315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rPr>
          <w:trHeight w:val="567"/>
        </w:trPr>
        <w:tc>
          <w:tcPr>
            <w:tcW w:w="5000" w:type="pct"/>
            <w:gridSpan w:val="3"/>
            <w:shd w:val="clear" w:color="auto" w:fill="B8CCE4"/>
            <w:vAlign w:val="center"/>
          </w:tcPr>
          <w:p w:rsidR="00DC3984" w:rsidRPr="003747AE" w:rsidRDefault="00DC3984" w:rsidP="004D4FE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II. Appropriate knowledge and understanding across all aspects of c</w:t>
            </w:r>
            <w:r w:rsidRPr="003747AE">
              <w:rPr>
                <w:rFonts w:cs="Arial"/>
                <w:b/>
                <w:bCs/>
              </w:rPr>
              <w:t xml:space="preserve">ore </w:t>
            </w:r>
            <w:r>
              <w:rPr>
                <w:rFonts w:cs="Arial"/>
                <w:b/>
                <w:bCs/>
              </w:rPr>
              <w:t>k</w:t>
            </w:r>
            <w:r w:rsidRPr="003747AE">
              <w:rPr>
                <w:rFonts w:cs="Arial"/>
                <w:b/>
                <w:bCs/>
              </w:rPr>
              <w:t>nowledge</w:t>
            </w:r>
          </w:p>
        </w:tc>
      </w:tr>
      <w:tr w:rsidR="00DC3984" w:rsidRPr="003747AE" w:rsidTr="004D4FE9">
        <w:trPr>
          <w:trHeight w:val="240"/>
        </w:trPr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K1: The subject material</w:t>
            </w:r>
          </w:p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rPr>
          <w:trHeight w:val="1323"/>
        </w:trPr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K2: Appropriate methods for teaching, learning and assessing in the subject area and at the level of the academic programme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K3: How students learn, both generally and within their subject/disciplinary area(s)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K4: The use and value of appropriate learning technologies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K5: Methods for evaluating the effectiveness of teaching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K6: The implications of quality assurance and quality enhancement for academic and professional practice with a particular focus on teaching</w:t>
            </w:r>
          </w:p>
        </w:tc>
        <w:tc>
          <w:tcPr>
            <w:tcW w:w="315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rPr>
          <w:trHeight w:val="567"/>
        </w:trPr>
        <w:tc>
          <w:tcPr>
            <w:tcW w:w="5000" w:type="pct"/>
            <w:gridSpan w:val="3"/>
            <w:shd w:val="clear" w:color="auto" w:fill="B8CCE4"/>
            <w:vAlign w:val="center"/>
          </w:tcPr>
          <w:p w:rsidR="00DC3984" w:rsidRPr="003747AE" w:rsidRDefault="00DC3984" w:rsidP="004D4FE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III. A commitment to all of the professional v</w:t>
            </w:r>
            <w:r w:rsidRPr="003747AE">
              <w:rPr>
                <w:rFonts w:cs="Arial"/>
                <w:b/>
                <w:bCs/>
              </w:rPr>
              <w:t>alues</w:t>
            </w: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V1: Respect individual learners and diverse learning communities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V2: Promote participation in higher education and equality of opportunity for learners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lastRenderedPageBreak/>
              <w:t>V3: use evidence-informed approaches and the outcomes from research, scholarship and continuing professional development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V4: Acknowledge the wider context in which higher education operates recognising the implications for professional practice.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A56B00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B8CCE4"/>
          </w:tcPr>
          <w:p w:rsidR="00DC3984" w:rsidRPr="00090D16" w:rsidRDefault="00DC3984" w:rsidP="004D4FE9">
            <w:pPr>
              <w:rPr>
                <w:rFonts w:cs="Arial"/>
                <w:b/>
                <w:iCs/>
              </w:rPr>
            </w:pPr>
            <w:r w:rsidRPr="00090D16">
              <w:rPr>
                <w:rFonts w:cs="Arial"/>
                <w:b/>
                <w:iCs/>
              </w:rPr>
              <w:t>V. Successful incorporation of subject and pedagogic research and/or scholarship within the above activities, as part of an integrated approach to academic practice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A56B00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B8CCE4"/>
          </w:tcPr>
          <w:p w:rsidR="00DC3984" w:rsidRPr="00090D16" w:rsidRDefault="00DC3984" w:rsidP="004D4FE9">
            <w:pPr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VI</w:t>
            </w:r>
            <w:r w:rsidRPr="00090D16">
              <w:rPr>
                <w:rFonts w:cs="Arial"/>
                <w:b/>
                <w:iCs/>
              </w:rPr>
              <w:t>. Successful engagement in continuing professional development in relation to teaching, learning, assessment and, where appropriate related professional practices.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</w:tbl>
    <w:p w:rsidR="00DC3984" w:rsidRPr="003747AE" w:rsidRDefault="00DC3984" w:rsidP="00DC3984">
      <w:pPr>
        <w:rPr>
          <w:rFonts w:cs="Arial"/>
        </w:rPr>
      </w:pPr>
    </w:p>
    <w:p w:rsidR="00FF46AE" w:rsidRDefault="00DC3984">
      <w:r w:rsidRPr="00BA4188">
        <w:t xml:space="preserve">To view a copy of the UKPSF please </w:t>
      </w:r>
      <w:r w:rsidR="00F14ADB" w:rsidRPr="00F14ADB">
        <w:t>visit</w:t>
      </w:r>
      <w:r w:rsidR="00F14ADB">
        <w:rPr>
          <w:rStyle w:val="Hyperlink"/>
        </w:rPr>
        <w:t xml:space="preserve"> </w:t>
      </w:r>
      <w:hyperlink r:id="rId5" w:history="1">
        <w:r w:rsidR="00F14ADB" w:rsidRPr="009C0C9F">
          <w:rPr>
            <w:rStyle w:val="Hyperlink"/>
          </w:rPr>
          <w:t>https://www.advance-he.ac.uk/knowledge-hub/uk-professional-standards-framework-ukpsf</w:t>
        </w:r>
      </w:hyperlink>
    </w:p>
    <w:sectPr w:rsidR="00FF46AE" w:rsidSect="00DC3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F47"/>
    <w:multiLevelType w:val="hybridMultilevel"/>
    <w:tmpl w:val="1D6C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84"/>
    <w:rsid w:val="00231610"/>
    <w:rsid w:val="005352B4"/>
    <w:rsid w:val="005763DA"/>
    <w:rsid w:val="00A56B00"/>
    <w:rsid w:val="00AF249A"/>
    <w:rsid w:val="00BF6543"/>
    <w:rsid w:val="00DC3984"/>
    <w:rsid w:val="00E16117"/>
    <w:rsid w:val="00E71B4B"/>
    <w:rsid w:val="00F14ADB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721CE-DCE1-49FD-A873-DBC73A5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8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C3984"/>
    <w:pPr>
      <w:keepNext/>
      <w:spacing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3984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styleId="Hyperlink">
    <w:name w:val="Hyperlink"/>
    <w:uiPriority w:val="99"/>
    <w:rsid w:val="00DC3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98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F4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vance-he.ac.uk/knowledge-hub/uk-professional-standards-framework-ukp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Dewsnip</dc:creator>
  <cp:keywords/>
  <dc:description/>
  <cp:lastModifiedBy>Holly Dewsnip</cp:lastModifiedBy>
  <cp:revision>2</cp:revision>
  <dcterms:created xsi:type="dcterms:W3CDTF">2022-06-22T15:44:00Z</dcterms:created>
  <dcterms:modified xsi:type="dcterms:W3CDTF">2022-06-22T15:44:00Z</dcterms:modified>
</cp:coreProperties>
</file>