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527" w:rsidRPr="00C56384" w:rsidRDefault="00D81527" w:rsidP="00D81527">
      <w:bookmarkStart w:id="0" w:name="_GoBack"/>
      <w:bookmarkEnd w:id="0"/>
      <w:r w:rsidRPr="0044379B">
        <w:rPr>
          <w:noProof/>
        </w:rPr>
        <w:drawing>
          <wp:inline distT="0" distB="0" distL="0" distR="0" wp14:anchorId="51B55F40" wp14:editId="3613E913">
            <wp:extent cx="1589088" cy="655638"/>
            <wp:effectExtent l="0" t="0" r="0" b="0"/>
            <wp:docPr id="1026" name="Picture 2" descr="The University of Mancheste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The University of Manchester">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9088" cy="6556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t xml:space="preserve">       </w:t>
      </w:r>
      <w:r w:rsidRPr="00653624">
        <w:rPr>
          <w:b/>
          <w:u w:val="single"/>
        </w:rPr>
        <w:t xml:space="preserve">Faculty of Humanities: PGR Placement </w:t>
      </w:r>
      <w:r>
        <w:rPr>
          <w:b/>
          <w:u w:val="single"/>
        </w:rPr>
        <w:t xml:space="preserve">Provider </w:t>
      </w:r>
      <w:r w:rsidRPr="00653624">
        <w:rPr>
          <w:b/>
          <w:u w:val="single"/>
        </w:rPr>
        <w:t>Template</w:t>
      </w:r>
    </w:p>
    <w:tbl>
      <w:tblPr>
        <w:tblStyle w:val="TableGrid"/>
        <w:tblW w:w="9889" w:type="dxa"/>
        <w:tblLook w:val="04A0" w:firstRow="1" w:lastRow="0" w:firstColumn="1" w:lastColumn="0" w:noHBand="0" w:noVBand="1"/>
      </w:tblPr>
      <w:tblGrid>
        <w:gridCol w:w="2802"/>
        <w:gridCol w:w="7087"/>
      </w:tblGrid>
      <w:tr w:rsidR="00D81527" w:rsidTr="00A3066F">
        <w:tc>
          <w:tcPr>
            <w:tcW w:w="2802" w:type="dxa"/>
            <w:shd w:val="clear" w:color="auto" w:fill="DDD9C3" w:themeFill="background2" w:themeFillShade="E6"/>
          </w:tcPr>
          <w:p w:rsidR="00D81527" w:rsidRPr="00CC5F31" w:rsidRDefault="00D81527" w:rsidP="00A3066F">
            <w:pPr>
              <w:rPr>
                <w:b/>
              </w:rPr>
            </w:pPr>
            <w:r w:rsidRPr="00CC5F31">
              <w:rPr>
                <w:b/>
              </w:rPr>
              <w:t>Placement Provider</w:t>
            </w:r>
            <w:r>
              <w:rPr>
                <w:b/>
              </w:rPr>
              <w:t>:</w:t>
            </w:r>
          </w:p>
        </w:tc>
        <w:tc>
          <w:tcPr>
            <w:tcW w:w="7087" w:type="dxa"/>
          </w:tcPr>
          <w:p w:rsidR="00D81527" w:rsidRDefault="00D81527" w:rsidP="00A3066F">
            <w:r>
              <w:t>Behavioural Insights Team</w:t>
            </w:r>
          </w:p>
        </w:tc>
      </w:tr>
      <w:tr w:rsidR="00D81527" w:rsidTr="00A3066F">
        <w:tc>
          <w:tcPr>
            <w:tcW w:w="2802" w:type="dxa"/>
            <w:shd w:val="clear" w:color="auto" w:fill="DDD9C3" w:themeFill="background2" w:themeFillShade="E6"/>
          </w:tcPr>
          <w:p w:rsidR="00D81527" w:rsidRPr="00CC5F31" w:rsidRDefault="00D81527" w:rsidP="00A3066F">
            <w:pPr>
              <w:rPr>
                <w:b/>
              </w:rPr>
            </w:pPr>
            <w:r w:rsidRPr="00CC5F31">
              <w:rPr>
                <w:b/>
              </w:rPr>
              <w:t>Location</w:t>
            </w:r>
            <w:r>
              <w:rPr>
                <w:b/>
              </w:rPr>
              <w:t xml:space="preserve">(s) of placement: </w:t>
            </w:r>
          </w:p>
        </w:tc>
        <w:tc>
          <w:tcPr>
            <w:tcW w:w="7087" w:type="dxa"/>
          </w:tcPr>
          <w:p w:rsidR="00D81527" w:rsidRDefault="00D81527" w:rsidP="00A3066F">
            <w:r>
              <w:t>Manchester</w:t>
            </w:r>
          </w:p>
        </w:tc>
      </w:tr>
      <w:tr w:rsidR="00D81527" w:rsidTr="00A3066F">
        <w:tc>
          <w:tcPr>
            <w:tcW w:w="2802" w:type="dxa"/>
            <w:shd w:val="clear" w:color="auto" w:fill="DDD9C3" w:themeFill="background2" w:themeFillShade="E6"/>
          </w:tcPr>
          <w:p w:rsidR="00D81527" w:rsidRPr="00CC5F31" w:rsidRDefault="00D81527" w:rsidP="00A3066F">
            <w:pPr>
              <w:rPr>
                <w:b/>
              </w:rPr>
            </w:pPr>
            <w:r w:rsidRPr="00CC5F31">
              <w:rPr>
                <w:b/>
              </w:rPr>
              <w:t>Start Date</w:t>
            </w:r>
            <w:r>
              <w:rPr>
                <w:b/>
              </w:rPr>
              <w:t>:</w:t>
            </w:r>
          </w:p>
        </w:tc>
        <w:tc>
          <w:tcPr>
            <w:tcW w:w="7087" w:type="dxa"/>
          </w:tcPr>
          <w:p w:rsidR="00D81527" w:rsidRDefault="00D81527" w:rsidP="00A3066F">
            <w:r>
              <w:t>7</w:t>
            </w:r>
            <w:r w:rsidRPr="002E5B74">
              <w:rPr>
                <w:vertAlign w:val="superscript"/>
              </w:rPr>
              <w:t>th</w:t>
            </w:r>
            <w:r>
              <w:t xml:space="preserve"> November 2016</w:t>
            </w:r>
          </w:p>
        </w:tc>
      </w:tr>
      <w:tr w:rsidR="00D81527" w:rsidTr="00A3066F">
        <w:tc>
          <w:tcPr>
            <w:tcW w:w="2802" w:type="dxa"/>
            <w:shd w:val="clear" w:color="auto" w:fill="DDD9C3" w:themeFill="background2" w:themeFillShade="E6"/>
          </w:tcPr>
          <w:p w:rsidR="00D81527" w:rsidRPr="00CC5F31" w:rsidRDefault="00D81527" w:rsidP="00A3066F">
            <w:pPr>
              <w:rPr>
                <w:b/>
              </w:rPr>
            </w:pPr>
            <w:r w:rsidRPr="00CC5F31">
              <w:rPr>
                <w:b/>
              </w:rPr>
              <w:t>Duration</w:t>
            </w:r>
            <w:r>
              <w:rPr>
                <w:b/>
              </w:rPr>
              <w:t>:</w:t>
            </w:r>
          </w:p>
        </w:tc>
        <w:tc>
          <w:tcPr>
            <w:tcW w:w="7087" w:type="dxa"/>
          </w:tcPr>
          <w:p w:rsidR="00D81527" w:rsidRDefault="00D81527" w:rsidP="00A3066F">
            <w:r>
              <w:t>6 – 8 weeks</w:t>
            </w:r>
          </w:p>
        </w:tc>
      </w:tr>
      <w:tr w:rsidR="00D81527" w:rsidTr="00A3066F">
        <w:tc>
          <w:tcPr>
            <w:tcW w:w="2802" w:type="dxa"/>
            <w:shd w:val="clear" w:color="auto" w:fill="DDD9C3" w:themeFill="background2" w:themeFillShade="E6"/>
          </w:tcPr>
          <w:p w:rsidR="00D81527" w:rsidRPr="00CC5F31" w:rsidRDefault="00D81527" w:rsidP="00A3066F">
            <w:pPr>
              <w:rPr>
                <w:b/>
              </w:rPr>
            </w:pPr>
            <w:r>
              <w:rPr>
                <w:b/>
              </w:rPr>
              <w:t>Work</w:t>
            </w:r>
            <w:r w:rsidRPr="00CC5F31">
              <w:rPr>
                <w:b/>
              </w:rPr>
              <w:t xml:space="preserve"> hours each week</w:t>
            </w:r>
            <w:r>
              <w:rPr>
                <w:b/>
              </w:rPr>
              <w:t>:</w:t>
            </w:r>
          </w:p>
        </w:tc>
        <w:tc>
          <w:tcPr>
            <w:tcW w:w="7087" w:type="dxa"/>
          </w:tcPr>
          <w:p w:rsidR="00D81527" w:rsidRDefault="00D81527" w:rsidP="00A3066F">
            <w:r>
              <w:t>36 (can be flexible and willing to offer part time with longer placement period)</w:t>
            </w:r>
          </w:p>
        </w:tc>
      </w:tr>
      <w:tr w:rsidR="00D81527" w:rsidTr="00A3066F">
        <w:tc>
          <w:tcPr>
            <w:tcW w:w="2802" w:type="dxa"/>
            <w:shd w:val="clear" w:color="auto" w:fill="DDD9C3" w:themeFill="background2" w:themeFillShade="E6"/>
          </w:tcPr>
          <w:p w:rsidR="00D81527" w:rsidRPr="00CC5F31" w:rsidRDefault="00D81527" w:rsidP="00A3066F">
            <w:pPr>
              <w:rPr>
                <w:b/>
              </w:rPr>
            </w:pPr>
            <w:r>
              <w:rPr>
                <w:b/>
              </w:rPr>
              <w:t>Deadline for Applications:</w:t>
            </w:r>
          </w:p>
        </w:tc>
        <w:tc>
          <w:tcPr>
            <w:tcW w:w="7087" w:type="dxa"/>
          </w:tcPr>
          <w:p w:rsidR="00D81527" w:rsidRDefault="00D81527" w:rsidP="00A3066F">
            <w:r>
              <w:t>30</w:t>
            </w:r>
            <w:r w:rsidRPr="001624BF">
              <w:rPr>
                <w:vertAlign w:val="superscript"/>
              </w:rPr>
              <w:t>th</w:t>
            </w:r>
            <w:r>
              <w:t xml:space="preserve"> November 2016</w:t>
            </w:r>
          </w:p>
        </w:tc>
      </w:tr>
      <w:tr w:rsidR="00D81527" w:rsidTr="00A3066F">
        <w:tc>
          <w:tcPr>
            <w:tcW w:w="2802" w:type="dxa"/>
            <w:shd w:val="clear" w:color="auto" w:fill="DDD9C3" w:themeFill="background2" w:themeFillShade="E6"/>
          </w:tcPr>
          <w:p w:rsidR="00D81527" w:rsidRDefault="00D81527" w:rsidP="00A3066F">
            <w:pPr>
              <w:rPr>
                <w:b/>
              </w:rPr>
            </w:pPr>
            <w:r>
              <w:rPr>
                <w:b/>
              </w:rPr>
              <w:t xml:space="preserve">Resources available </w:t>
            </w:r>
            <w:proofErr w:type="spellStart"/>
            <w:r>
              <w:rPr>
                <w:b/>
              </w:rPr>
              <w:t>eg</w:t>
            </w:r>
            <w:proofErr w:type="spellEnd"/>
            <w:r>
              <w:rPr>
                <w:b/>
              </w:rPr>
              <w:t xml:space="preserve"> library data, computer, desk </w:t>
            </w:r>
            <w:proofErr w:type="spellStart"/>
            <w:r>
              <w:rPr>
                <w:b/>
              </w:rPr>
              <w:t>etc</w:t>
            </w:r>
            <w:proofErr w:type="spellEnd"/>
          </w:p>
        </w:tc>
        <w:tc>
          <w:tcPr>
            <w:tcW w:w="7087" w:type="dxa"/>
          </w:tcPr>
          <w:p w:rsidR="00D81527" w:rsidRDefault="00D81527" w:rsidP="00A3066F">
            <w:r>
              <w:t>Laptop, desk</w:t>
            </w:r>
          </w:p>
        </w:tc>
      </w:tr>
      <w:tr w:rsidR="00D81527" w:rsidTr="00A3066F">
        <w:tc>
          <w:tcPr>
            <w:tcW w:w="2802" w:type="dxa"/>
            <w:shd w:val="clear" w:color="auto" w:fill="DDD9C3" w:themeFill="background2" w:themeFillShade="E6"/>
          </w:tcPr>
          <w:p w:rsidR="00D81527" w:rsidRDefault="00D81527" w:rsidP="00A3066F">
            <w:pPr>
              <w:rPr>
                <w:b/>
              </w:rPr>
            </w:pPr>
            <w:r>
              <w:rPr>
                <w:b/>
              </w:rPr>
              <w:t>Security clearance required</w:t>
            </w:r>
          </w:p>
        </w:tc>
        <w:tc>
          <w:tcPr>
            <w:tcW w:w="7087" w:type="dxa"/>
          </w:tcPr>
          <w:p w:rsidR="00D81527" w:rsidRPr="00E41606" w:rsidRDefault="00D81527" w:rsidP="00A3066F">
            <w:pPr>
              <w:rPr>
                <w:b/>
              </w:rPr>
            </w:pPr>
            <w:r>
              <w:rPr>
                <w:b/>
              </w:rPr>
              <w:t xml:space="preserve">     No</w:t>
            </w:r>
          </w:p>
        </w:tc>
      </w:tr>
      <w:tr w:rsidR="00D81527" w:rsidTr="00A3066F">
        <w:tc>
          <w:tcPr>
            <w:tcW w:w="2802" w:type="dxa"/>
            <w:shd w:val="clear" w:color="auto" w:fill="DDD9C3" w:themeFill="background2" w:themeFillShade="E6"/>
          </w:tcPr>
          <w:p w:rsidR="00D81527" w:rsidRDefault="00D81527" w:rsidP="00A3066F">
            <w:pPr>
              <w:rPr>
                <w:b/>
              </w:rPr>
            </w:pPr>
            <w:r>
              <w:rPr>
                <w:b/>
              </w:rPr>
              <w:t>Disclosure Barring Service check required</w:t>
            </w:r>
          </w:p>
        </w:tc>
        <w:tc>
          <w:tcPr>
            <w:tcW w:w="7087" w:type="dxa"/>
          </w:tcPr>
          <w:p w:rsidR="00D81527" w:rsidRPr="00E41606" w:rsidRDefault="00D81527" w:rsidP="00A3066F">
            <w:pPr>
              <w:rPr>
                <w:b/>
              </w:rPr>
            </w:pPr>
            <w:r w:rsidRPr="00E41606">
              <w:rPr>
                <w:b/>
              </w:rPr>
              <w:t xml:space="preserve">     No</w:t>
            </w:r>
          </w:p>
        </w:tc>
      </w:tr>
      <w:tr w:rsidR="00D81527" w:rsidTr="00A3066F">
        <w:tc>
          <w:tcPr>
            <w:tcW w:w="9889" w:type="dxa"/>
            <w:gridSpan w:val="2"/>
            <w:shd w:val="clear" w:color="auto" w:fill="DDD9C3" w:themeFill="background2" w:themeFillShade="E6"/>
          </w:tcPr>
          <w:p w:rsidR="00D81527" w:rsidRPr="00CC5F31" w:rsidRDefault="00D81527" w:rsidP="00A3066F">
            <w:pPr>
              <w:rPr>
                <w:b/>
              </w:rPr>
            </w:pPr>
            <w:r>
              <w:rPr>
                <w:b/>
              </w:rPr>
              <w:t>Description of</w:t>
            </w:r>
            <w:r w:rsidRPr="00CC5F31">
              <w:rPr>
                <w:b/>
              </w:rPr>
              <w:t xml:space="preserve"> Placement</w:t>
            </w:r>
            <w:r>
              <w:rPr>
                <w:b/>
              </w:rPr>
              <w:t>:</w:t>
            </w:r>
          </w:p>
        </w:tc>
      </w:tr>
      <w:tr w:rsidR="00D81527" w:rsidTr="00A3066F">
        <w:tc>
          <w:tcPr>
            <w:tcW w:w="9889" w:type="dxa"/>
            <w:gridSpan w:val="2"/>
          </w:tcPr>
          <w:p w:rsidR="00D81527" w:rsidRDefault="00D81527" w:rsidP="00A3066F">
            <w:r>
              <w:t xml:space="preserve">To undertake a literature and evidence review examining ‘place based approaches’ to policy. </w:t>
            </w:r>
          </w:p>
          <w:p w:rsidR="00D81527" w:rsidRDefault="00D81527" w:rsidP="00A3066F"/>
        </w:tc>
      </w:tr>
      <w:tr w:rsidR="00D81527" w:rsidTr="00A3066F">
        <w:tc>
          <w:tcPr>
            <w:tcW w:w="9889" w:type="dxa"/>
            <w:gridSpan w:val="2"/>
            <w:shd w:val="clear" w:color="auto" w:fill="DDD9C3" w:themeFill="background2" w:themeFillShade="E6"/>
          </w:tcPr>
          <w:p w:rsidR="00D81527" w:rsidRPr="00CC5F31" w:rsidRDefault="00D81527" w:rsidP="00A3066F">
            <w:pPr>
              <w:rPr>
                <w:b/>
              </w:rPr>
            </w:pPr>
            <w:r w:rsidRPr="00CC5F31">
              <w:rPr>
                <w:b/>
              </w:rPr>
              <w:t xml:space="preserve">Expected Tasks and Outcomes </w:t>
            </w:r>
            <w:r>
              <w:rPr>
                <w:b/>
              </w:rPr>
              <w:t>:</w:t>
            </w:r>
          </w:p>
        </w:tc>
      </w:tr>
      <w:tr w:rsidR="00D81527" w:rsidTr="00A3066F">
        <w:tc>
          <w:tcPr>
            <w:tcW w:w="9889" w:type="dxa"/>
            <w:gridSpan w:val="2"/>
          </w:tcPr>
          <w:p w:rsidR="00D81527" w:rsidRDefault="00D81527" w:rsidP="00A3066F">
            <w:r>
              <w:t>The successful applicant will complete a literature/evidence review examining what is meant by the terms ‘place based approaches’ and ‘placed based integration’ in a local policy context, for e.g. to deliver health services. The final report will seek to answer the following questions:</w:t>
            </w:r>
          </w:p>
          <w:p w:rsidR="00D81527" w:rsidRDefault="00D81527" w:rsidP="00A3066F">
            <w:pPr>
              <w:pStyle w:val="ListParagraph"/>
              <w:numPr>
                <w:ilvl w:val="0"/>
                <w:numId w:val="1"/>
              </w:numPr>
            </w:pPr>
            <w:r>
              <w:t>What do the terms ‘place based approaches’ and ‘placed based integration’ mean?</w:t>
            </w:r>
          </w:p>
          <w:p w:rsidR="00D81527" w:rsidRDefault="00D81527" w:rsidP="00A3066F">
            <w:pPr>
              <w:pStyle w:val="ListParagraph"/>
              <w:numPr>
                <w:ilvl w:val="0"/>
                <w:numId w:val="1"/>
              </w:numPr>
            </w:pPr>
            <w:r>
              <w:t>What are the main behavioural factors which are relevant to the situation?</w:t>
            </w:r>
          </w:p>
          <w:p w:rsidR="00D81527" w:rsidRDefault="00D81527" w:rsidP="00A3066F"/>
          <w:p w:rsidR="00D81527" w:rsidRDefault="00D81527" w:rsidP="00A3066F">
            <w:r>
              <w:t xml:space="preserve">The literature review will look at academic journals as well as wider literature for e.g. from think tanks, Government papers etc. The work will be required to have a specific focus on the behavioural factors which are likely to be important in applying a place based approach. The final literature review is expected to form part of a report to be produced by the Behavioural Insights Team next year which will set out the behavioural components of place based approaches as well as examples of the work we have done which are related. For an example of the type of report we are hoping to produce please see BIT’s recent report </w:t>
            </w:r>
            <w:r w:rsidRPr="002D5E57">
              <w:rPr>
                <w:i/>
              </w:rPr>
              <w:t>Making the change:  Behavioural factors in person- and community centred approaches for health and wellbeing</w:t>
            </w:r>
            <w:r>
              <w:rPr>
                <w:i/>
              </w:rPr>
              <w:t>.</w:t>
            </w:r>
            <w:r>
              <w:t xml:space="preserve"> </w:t>
            </w:r>
            <w:r>
              <w:rPr>
                <w:rStyle w:val="FootnoteReference"/>
              </w:rPr>
              <w:footnoteReference w:id="1"/>
            </w:r>
          </w:p>
          <w:p w:rsidR="00D81527" w:rsidRDefault="00D81527" w:rsidP="00A3066F"/>
        </w:tc>
      </w:tr>
      <w:tr w:rsidR="00D81527" w:rsidTr="00A3066F">
        <w:tc>
          <w:tcPr>
            <w:tcW w:w="9889" w:type="dxa"/>
            <w:gridSpan w:val="2"/>
            <w:shd w:val="clear" w:color="auto" w:fill="DDD9C3" w:themeFill="background2" w:themeFillShade="E6"/>
          </w:tcPr>
          <w:p w:rsidR="00D81527" w:rsidRPr="00CC5F31" w:rsidRDefault="00D81527" w:rsidP="00A3066F">
            <w:pPr>
              <w:rPr>
                <w:b/>
              </w:rPr>
            </w:pPr>
            <w:r w:rsidRPr="00810B35">
              <w:rPr>
                <w:b/>
                <w:shd w:val="clear" w:color="auto" w:fill="DDD9C3" w:themeFill="background2" w:themeFillShade="E6"/>
              </w:rPr>
              <w:t>Specific Skills</w:t>
            </w:r>
            <w:r>
              <w:rPr>
                <w:b/>
                <w:shd w:val="clear" w:color="auto" w:fill="DDD9C3" w:themeFill="background2" w:themeFillShade="E6"/>
              </w:rPr>
              <w:t xml:space="preserve">/Experience/Training </w:t>
            </w:r>
            <w:r w:rsidRPr="00810B35">
              <w:rPr>
                <w:b/>
                <w:shd w:val="clear" w:color="auto" w:fill="DDD9C3" w:themeFill="background2" w:themeFillShade="E6"/>
              </w:rPr>
              <w:t xml:space="preserve"> Required for</w:t>
            </w:r>
            <w:r>
              <w:rPr>
                <w:b/>
              </w:rPr>
              <w:t xml:space="preserve"> the Placement:</w:t>
            </w:r>
          </w:p>
        </w:tc>
      </w:tr>
      <w:tr w:rsidR="00D81527" w:rsidTr="00A3066F">
        <w:tc>
          <w:tcPr>
            <w:tcW w:w="9889" w:type="dxa"/>
            <w:gridSpan w:val="2"/>
          </w:tcPr>
          <w:p w:rsidR="00D81527" w:rsidRDefault="00D81527" w:rsidP="00A3066F">
            <w:r>
              <w:t>The ability to think about a broad concept and identify and research relevant findings from behavioural science to create a concise and coherent summary of the evidence. The work needs to have a clear public policy focus so the successful candidate is likely to have some experience of translating academic research into public policy documents.</w:t>
            </w:r>
          </w:p>
          <w:p w:rsidR="00D81527" w:rsidRPr="002D5E57" w:rsidRDefault="00D81527" w:rsidP="00A3066F">
            <w:r>
              <w:t xml:space="preserve">Applicants </w:t>
            </w:r>
            <w:r w:rsidRPr="002D5E57">
              <w:t>will need to have a</w:t>
            </w:r>
            <w:r>
              <w:t>n excellent</w:t>
            </w:r>
            <w:r w:rsidRPr="002D5E57">
              <w:t xml:space="preserve"> background in behavioural science </w:t>
            </w:r>
            <w:proofErr w:type="gramStart"/>
            <w:r w:rsidRPr="002D5E57">
              <w:t>with a m</w:t>
            </w:r>
            <w:r w:rsidRPr="002D5E57">
              <w:rPr>
                <w:rFonts w:cs="Times New Roman"/>
                <w:lang w:eastAsia="en-GB"/>
              </w:rPr>
              <w:t>asters</w:t>
            </w:r>
            <w:proofErr w:type="gramEnd"/>
            <w:r w:rsidRPr="002D5E57">
              <w:rPr>
                <w:rFonts w:cs="Times New Roman"/>
                <w:lang w:eastAsia="en-GB"/>
              </w:rPr>
              <w:t xml:space="preserve"> in a relevant subject area (including, but not limited to behavioural economics, psychology, design thinking</w:t>
            </w:r>
            <w:r>
              <w:rPr>
                <w:rFonts w:cs="Times New Roman"/>
                <w:lang w:eastAsia="en-GB"/>
              </w:rPr>
              <w:t>).</w:t>
            </w:r>
          </w:p>
          <w:p w:rsidR="00D81527" w:rsidRDefault="00D81527" w:rsidP="00A3066F"/>
        </w:tc>
      </w:tr>
      <w:tr w:rsidR="00D81527" w:rsidTr="00A3066F">
        <w:tc>
          <w:tcPr>
            <w:tcW w:w="9889" w:type="dxa"/>
            <w:gridSpan w:val="2"/>
            <w:shd w:val="clear" w:color="auto" w:fill="DDD9C3" w:themeFill="background2" w:themeFillShade="E6"/>
          </w:tcPr>
          <w:p w:rsidR="00D81527" w:rsidRDefault="00D81527" w:rsidP="00A3066F">
            <w:pPr>
              <w:rPr>
                <w:b/>
              </w:rPr>
            </w:pPr>
            <w:r w:rsidRPr="00CC5F31">
              <w:rPr>
                <w:b/>
              </w:rPr>
              <w:t>Training and experience expected to be gained through the placement</w:t>
            </w:r>
            <w:r>
              <w:rPr>
                <w:b/>
              </w:rPr>
              <w:t>:</w:t>
            </w:r>
          </w:p>
        </w:tc>
      </w:tr>
      <w:tr w:rsidR="00D81527" w:rsidTr="00A3066F">
        <w:tc>
          <w:tcPr>
            <w:tcW w:w="9889" w:type="dxa"/>
            <w:gridSpan w:val="2"/>
          </w:tcPr>
          <w:p w:rsidR="00D81527" w:rsidRPr="00075BD9" w:rsidRDefault="00D81527" w:rsidP="00A3066F">
            <w:r>
              <w:t xml:space="preserve">Experience synthesising evidence from a wide range of sources (academic, policy </w:t>
            </w:r>
            <w:proofErr w:type="spellStart"/>
            <w:r>
              <w:t>etc</w:t>
            </w:r>
            <w:proofErr w:type="spellEnd"/>
            <w:r>
              <w:t>) to produce a report which sets out the behavioural factors that play a part in a bro</w:t>
            </w:r>
            <w:r w:rsidRPr="00075BD9">
              <w:t xml:space="preserve">ad public policy idea (place based approaches). Learning how to translate academic research into concrete public policy ideas.   </w:t>
            </w:r>
          </w:p>
          <w:p w:rsidR="00D81527" w:rsidRPr="00075BD9" w:rsidRDefault="00D81527" w:rsidP="00A3066F">
            <w:pPr>
              <w:rPr>
                <w:b/>
              </w:rPr>
            </w:pPr>
          </w:p>
          <w:p w:rsidR="00D81527" w:rsidRPr="00075BD9" w:rsidRDefault="00D81527" w:rsidP="00A3066F">
            <w:pPr>
              <w:pStyle w:val="NormalWeb"/>
              <w:spacing w:before="0" w:beforeAutospacing="0" w:after="120" w:afterAutospacing="0"/>
              <w:rPr>
                <w:rFonts w:asciiTheme="minorHAnsi" w:hAnsiTheme="minorHAnsi"/>
                <w:sz w:val="22"/>
              </w:rPr>
            </w:pPr>
            <w:r w:rsidRPr="00075BD9">
              <w:rPr>
                <w:rFonts w:asciiTheme="minorHAnsi" w:hAnsiTheme="minorHAnsi"/>
                <w:sz w:val="22"/>
                <w:szCs w:val="22"/>
              </w:rPr>
              <w:t>The opportunity to work in BIT North, the new Manchester office of the Behavioural Insights Team which opened in May 2016 and currently has two members of staff. BIT North is</w:t>
            </w:r>
            <w:r w:rsidRPr="00075BD9">
              <w:rPr>
                <w:rFonts w:asciiTheme="minorHAnsi" w:hAnsiTheme="minorHAnsi"/>
                <w:sz w:val="22"/>
              </w:rPr>
              <w:t xml:space="preserve"> working on a range of projects in a wide range of policy areas including: health and social care, skills and education, organisation development and waste and recycling. As well as completing the </w:t>
            </w:r>
            <w:r>
              <w:rPr>
                <w:rFonts w:asciiTheme="minorHAnsi" w:hAnsiTheme="minorHAnsi"/>
                <w:sz w:val="22"/>
              </w:rPr>
              <w:t>evidence review</w:t>
            </w:r>
            <w:r w:rsidRPr="00075BD9">
              <w:rPr>
                <w:rFonts w:asciiTheme="minorHAnsi" w:hAnsiTheme="minorHAnsi"/>
                <w:sz w:val="22"/>
              </w:rPr>
              <w:t xml:space="preserve"> set out above placement students will have the opportunity to experience, and possibly work on, the other projects currently being carried out by BIT North. This is likely to include the opportunity to attend meetings and prepare background briefings. </w:t>
            </w:r>
          </w:p>
          <w:p w:rsidR="00D81527" w:rsidRDefault="00D81527" w:rsidP="00A3066F">
            <w:pPr>
              <w:rPr>
                <w:b/>
              </w:rPr>
            </w:pPr>
          </w:p>
        </w:tc>
      </w:tr>
    </w:tbl>
    <w:p w:rsidR="00A15EEB" w:rsidRDefault="00A15EEB"/>
    <w:sectPr w:rsidR="00A15E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527" w:rsidRDefault="00D81527" w:rsidP="00D81527">
      <w:pPr>
        <w:spacing w:after="0" w:line="240" w:lineRule="auto"/>
      </w:pPr>
      <w:r>
        <w:separator/>
      </w:r>
    </w:p>
  </w:endnote>
  <w:endnote w:type="continuationSeparator" w:id="0">
    <w:p w:rsidR="00D81527" w:rsidRDefault="00D81527" w:rsidP="00D81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527" w:rsidRDefault="00D81527" w:rsidP="00D81527">
      <w:pPr>
        <w:spacing w:after="0" w:line="240" w:lineRule="auto"/>
      </w:pPr>
      <w:r>
        <w:separator/>
      </w:r>
    </w:p>
  </w:footnote>
  <w:footnote w:type="continuationSeparator" w:id="0">
    <w:p w:rsidR="00D81527" w:rsidRDefault="00D81527" w:rsidP="00D81527">
      <w:pPr>
        <w:spacing w:after="0" w:line="240" w:lineRule="auto"/>
      </w:pPr>
      <w:r>
        <w:continuationSeparator/>
      </w:r>
    </w:p>
  </w:footnote>
  <w:footnote w:id="1">
    <w:p w:rsidR="00D81527" w:rsidRDefault="00D81527" w:rsidP="00D81527">
      <w:pPr>
        <w:pStyle w:val="FootnoteText"/>
      </w:pPr>
      <w:r>
        <w:rPr>
          <w:rStyle w:val="FootnoteReference"/>
        </w:rPr>
        <w:footnoteRef/>
      </w:r>
      <w:r>
        <w:t xml:space="preserve"> </w:t>
      </w:r>
      <w:hyperlink r:id="rId1" w:history="1">
        <w:r w:rsidRPr="00F26F5D">
          <w:rPr>
            <w:rStyle w:val="Hyperlink"/>
          </w:rPr>
          <w:t>http://www.nesta.org.uk/sites/default/files/making_the_change.rtv_.pdf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E655F"/>
    <w:multiLevelType w:val="hybridMultilevel"/>
    <w:tmpl w:val="BD0E56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527"/>
    <w:rsid w:val="00913F5B"/>
    <w:rsid w:val="00A15EEB"/>
    <w:rsid w:val="00C93C7B"/>
    <w:rsid w:val="00D8152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5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1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815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1527"/>
    <w:rPr>
      <w:sz w:val="20"/>
      <w:szCs w:val="20"/>
    </w:rPr>
  </w:style>
  <w:style w:type="character" w:styleId="FootnoteReference">
    <w:name w:val="footnote reference"/>
    <w:basedOn w:val="DefaultParagraphFont"/>
    <w:uiPriority w:val="99"/>
    <w:semiHidden/>
    <w:unhideWhenUsed/>
    <w:rsid w:val="00D81527"/>
    <w:rPr>
      <w:vertAlign w:val="superscript"/>
    </w:rPr>
  </w:style>
  <w:style w:type="character" w:styleId="Hyperlink">
    <w:name w:val="Hyperlink"/>
    <w:basedOn w:val="DefaultParagraphFont"/>
    <w:uiPriority w:val="99"/>
    <w:unhideWhenUsed/>
    <w:rsid w:val="00D81527"/>
    <w:rPr>
      <w:color w:val="0000FF" w:themeColor="hyperlink"/>
      <w:u w:val="single"/>
    </w:rPr>
  </w:style>
  <w:style w:type="paragraph" w:styleId="ListParagraph">
    <w:name w:val="List Paragraph"/>
    <w:basedOn w:val="Normal"/>
    <w:uiPriority w:val="34"/>
    <w:qFormat/>
    <w:rsid w:val="00D81527"/>
    <w:pPr>
      <w:ind w:left="720"/>
      <w:contextualSpacing/>
    </w:pPr>
  </w:style>
  <w:style w:type="paragraph" w:styleId="NormalWeb">
    <w:name w:val="Normal (Web)"/>
    <w:basedOn w:val="Normal"/>
    <w:uiPriority w:val="99"/>
    <w:unhideWhenUsed/>
    <w:rsid w:val="00D81527"/>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815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5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5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1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815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1527"/>
    <w:rPr>
      <w:sz w:val="20"/>
      <w:szCs w:val="20"/>
    </w:rPr>
  </w:style>
  <w:style w:type="character" w:styleId="FootnoteReference">
    <w:name w:val="footnote reference"/>
    <w:basedOn w:val="DefaultParagraphFont"/>
    <w:uiPriority w:val="99"/>
    <w:semiHidden/>
    <w:unhideWhenUsed/>
    <w:rsid w:val="00D81527"/>
    <w:rPr>
      <w:vertAlign w:val="superscript"/>
    </w:rPr>
  </w:style>
  <w:style w:type="character" w:styleId="Hyperlink">
    <w:name w:val="Hyperlink"/>
    <w:basedOn w:val="DefaultParagraphFont"/>
    <w:uiPriority w:val="99"/>
    <w:unhideWhenUsed/>
    <w:rsid w:val="00D81527"/>
    <w:rPr>
      <w:color w:val="0000FF" w:themeColor="hyperlink"/>
      <w:u w:val="single"/>
    </w:rPr>
  </w:style>
  <w:style w:type="paragraph" w:styleId="ListParagraph">
    <w:name w:val="List Paragraph"/>
    <w:basedOn w:val="Normal"/>
    <w:uiPriority w:val="34"/>
    <w:qFormat/>
    <w:rsid w:val="00D81527"/>
    <w:pPr>
      <w:ind w:left="720"/>
      <w:contextualSpacing/>
    </w:pPr>
  </w:style>
  <w:style w:type="paragraph" w:styleId="NormalWeb">
    <w:name w:val="Normal (Web)"/>
    <w:basedOn w:val="Normal"/>
    <w:uiPriority w:val="99"/>
    <w:unhideWhenUsed/>
    <w:rsid w:val="00D81527"/>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815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5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chester.ac.u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nesta.org.uk/sites/default/files/making_the_change.rtv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2962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Davies</dc:creator>
  <cp:lastModifiedBy>Eljee Javier</cp:lastModifiedBy>
  <cp:revision>2</cp:revision>
  <dcterms:created xsi:type="dcterms:W3CDTF">2016-11-03T12:09:00Z</dcterms:created>
  <dcterms:modified xsi:type="dcterms:W3CDTF">2016-11-03T12:09:00Z</dcterms:modified>
</cp:coreProperties>
</file>