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B16" w:rsidRDefault="009C1F2A" w:rsidP="009C1F2A">
      <w:pPr>
        <w:pStyle w:val="Title"/>
        <w:tabs>
          <w:tab w:val="left" w:pos="4395"/>
        </w:tabs>
      </w:pPr>
      <w:bookmarkStart w:id="0" w:name="_GoBack"/>
      <w:bookmarkEnd w:id="0"/>
      <w:r>
        <w:rPr>
          <w:noProof/>
          <w:lang w:eastAsia="zh-CN"/>
        </w:rPr>
        <w:drawing>
          <wp:inline distT="0" distB="0" distL="0" distR="0" wp14:anchorId="420E7C87" wp14:editId="40CC309E">
            <wp:extent cx="1635125" cy="685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5125" cy="685800"/>
                    </a:xfrm>
                    <a:prstGeom prst="rect">
                      <a:avLst/>
                    </a:prstGeom>
                    <a:noFill/>
                    <a:ln>
                      <a:noFill/>
                    </a:ln>
                  </pic:spPr>
                </pic:pic>
              </a:graphicData>
            </a:graphic>
          </wp:inline>
        </w:drawing>
      </w:r>
    </w:p>
    <w:p w:rsidR="00B22B16" w:rsidRDefault="00B22B16" w:rsidP="00B22B16"/>
    <w:p w:rsidR="00C87C4D" w:rsidRDefault="00C87C4D" w:rsidP="00C87C4D">
      <w:pPr>
        <w:pStyle w:val="Title"/>
        <w:jc w:val="center"/>
      </w:pPr>
      <w:r>
        <w:t>School of Environment, Education and Development</w:t>
      </w:r>
    </w:p>
    <w:p w:rsidR="00EC7791" w:rsidRDefault="00EC7791" w:rsidP="00C87C4D">
      <w:pPr>
        <w:pStyle w:val="Title"/>
        <w:jc w:val="center"/>
      </w:pPr>
    </w:p>
    <w:p w:rsidR="00BC4C1A" w:rsidRDefault="00EC7791" w:rsidP="00C87C4D">
      <w:pPr>
        <w:pStyle w:val="Title"/>
        <w:jc w:val="center"/>
      </w:pPr>
      <w:r>
        <w:t xml:space="preserve">SEED </w:t>
      </w:r>
      <w:r w:rsidR="00C87C4D">
        <w:t xml:space="preserve">Policy on Research </w:t>
      </w:r>
      <w:r w:rsidR="00A87DBF">
        <w:t>‘</w:t>
      </w:r>
      <w:r w:rsidR="001A694F">
        <w:t>Buy-</w:t>
      </w:r>
      <w:r w:rsidR="00A87DBF">
        <w:t>Ins’ and Research-linked Workload Adjustments</w:t>
      </w:r>
    </w:p>
    <w:p w:rsidR="00C87C4D" w:rsidRDefault="00C87C4D" w:rsidP="00C87C4D"/>
    <w:p w:rsidR="00C87C4D" w:rsidRPr="00C87C4D" w:rsidRDefault="008F3A4A" w:rsidP="00C87C4D">
      <w:pPr>
        <w:jc w:val="center"/>
      </w:pPr>
      <w:r>
        <w:t>October</w:t>
      </w:r>
      <w:r w:rsidR="00C87C4D">
        <w:t xml:space="preserve"> 2016</w:t>
      </w:r>
    </w:p>
    <w:p w:rsidR="00C87C4D" w:rsidRDefault="00C87C4D" w:rsidP="00C87C4D"/>
    <w:p w:rsidR="00B828CB" w:rsidRDefault="00B828CB" w:rsidP="00C87C4D"/>
    <w:p w:rsidR="00AE4CCF" w:rsidRDefault="00AE4CCF" w:rsidP="00AE4CCF">
      <w:pPr>
        <w:spacing w:before="55"/>
        <w:ind w:left="152" w:right="247"/>
        <w:rPr>
          <w:b/>
          <w:sz w:val="32"/>
        </w:rPr>
      </w:pPr>
      <w:r>
        <w:rPr>
          <w:b/>
          <w:color w:val="234060"/>
          <w:sz w:val="32"/>
        </w:rPr>
        <w:t>Background</w:t>
      </w:r>
    </w:p>
    <w:p w:rsidR="00AA1979" w:rsidRPr="00AB3400" w:rsidRDefault="00B828CB" w:rsidP="00C87C4D">
      <w:pPr>
        <w:rPr>
          <w:sz w:val="22"/>
        </w:rPr>
      </w:pPr>
      <w:r w:rsidRPr="00AB3400">
        <w:rPr>
          <w:sz w:val="22"/>
        </w:rPr>
        <w:t xml:space="preserve">The School of Environment, Education and Development (SEED), and its constituent disciplines and Institutes, are heavily invested in undertaking cutting edge research. </w:t>
      </w:r>
      <w:r w:rsidR="003878D2" w:rsidRPr="00AB3400">
        <w:rPr>
          <w:sz w:val="22"/>
        </w:rPr>
        <w:t xml:space="preserve">SEED’s research strategy is focused around attaining three objectives: raising the quality of our research output; enhancing the impact of our work; and improving our levels of external grant capture. </w:t>
      </w:r>
      <w:r w:rsidRPr="00AB3400">
        <w:rPr>
          <w:sz w:val="22"/>
        </w:rPr>
        <w:t>Much of th</w:t>
      </w:r>
      <w:r w:rsidR="003878D2" w:rsidRPr="00AB3400">
        <w:rPr>
          <w:sz w:val="22"/>
        </w:rPr>
        <w:t xml:space="preserve">e research undertaken in the School </w:t>
      </w:r>
      <w:r w:rsidRPr="00AB3400">
        <w:rPr>
          <w:sz w:val="22"/>
        </w:rPr>
        <w:t xml:space="preserve">is done through externally funded research grants. As part of the University’s research expectations, SEED is expected to substantially increase its levels of grant capture. In </w:t>
      </w:r>
      <w:r w:rsidR="00A87DBF">
        <w:rPr>
          <w:sz w:val="22"/>
        </w:rPr>
        <w:t>the recent years,</w:t>
      </w:r>
      <w:r w:rsidRPr="00AB3400">
        <w:rPr>
          <w:sz w:val="22"/>
        </w:rPr>
        <w:t xml:space="preserve"> grant income levels for the School have been low</w:t>
      </w:r>
      <w:r w:rsidR="003878D2" w:rsidRPr="00AB3400">
        <w:rPr>
          <w:sz w:val="22"/>
        </w:rPr>
        <w:t>, around £2M in 2013-14 and just under £3M in 2014-15. In 2015-16 grant income levels substantially improved</w:t>
      </w:r>
      <w:r w:rsidR="00A87DBF">
        <w:rPr>
          <w:sz w:val="22"/>
        </w:rPr>
        <w:t xml:space="preserve"> to just </w:t>
      </w:r>
      <w:r w:rsidR="003878D2" w:rsidRPr="00AB3400">
        <w:rPr>
          <w:sz w:val="22"/>
        </w:rPr>
        <w:t xml:space="preserve">over £5M. However, this is still far short of the University’s strategic target for grant income capture in SEED which is over £9.2M a year by 2020. </w:t>
      </w:r>
      <w:r w:rsidR="00A87DBF">
        <w:rPr>
          <w:sz w:val="22"/>
        </w:rPr>
        <w:t>In addition to this challenge,</w:t>
      </w:r>
      <w:r w:rsidR="003878D2" w:rsidRPr="00AB3400">
        <w:rPr>
          <w:sz w:val="22"/>
        </w:rPr>
        <w:t xml:space="preserve"> the School has a highly skewed pattern of grant income gathering. Less than 20% of research active colleagues (those on a research and teaching contract) account for the vast bulk of grant income raised by the School</w:t>
      </w:r>
      <w:r w:rsidR="002B7DB3" w:rsidRPr="00AB3400">
        <w:rPr>
          <w:sz w:val="22"/>
        </w:rPr>
        <w:t xml:space="preserve">. Attaining the School’s research goals and objectives requires us to not only raise the quality of our work but also to expand the numbers of colleagues engaged in grant funded research and raise our overall levels of grant income. Other policy frameworks set out the role of research groups and research centres as part of the School’s overall research strategy. </w:t>
      </w:r>
    </w:p>
    <w:p w:rsidR="00AA1979" w:rsidRPr="00AB3400" w:rsidRDefault="00AA1979" w:rsidP="00C87C4D">
      <w:pPr>
        <w:rPr>
          <w:sz w:val="22"/>
        </w:rPr>
      </w:pPr>
    </w:p>
    <w:p w:rsidR="002B7DB3" w:rsidRDefault="002B7DB3" w:rsidP="00C87C4D">
      <w:pPr>
        <w:rPr>
          <w:sz w:val="22"/>
        </w:rPr>
      </w:pPr>
      <w:r w:rsidRPr="00AB3400">
        <w:rPr>
          <w:sz w:val="22"/>
        </w:rPr>
        <w:t xml:space="preserve">The </w:t>
      </w:r>
      <w:r w:rsidR="00A87DBF">
        <w:rPr>
          <w:sz w:val="22"/>
        </w:rPr>
        <w:t>‘Policy on Research ‘B</w:t>
      </w:r>
      <w:r w:rsidRPr="00AB3400">
        <w:rPr>
          <w:sz w:val="22"/>
        </w:rPr>
        <w:t>uy-</w:t>
      </w:r>
      <w:r w:rsidR="00A87DBF">
        <w:rPr>
          <w:sz w:val="22"/>
        </w:rPr>
        <w:t>in’ and Research-linked Workload Adjustment’</w:t>
      </w:r>
      <w:r w:rsidRPr="00AB3400">
        <w:rPr>
          <w:sz w:val="22"/>
        </w:rPr>
        <w:t xml:space="preserve"> details the School’s approach to funded research time. </w:t>
      </w:r>
      <w:r w:rsidR="00AA1979" w:rsidRPr="00AB3400">
        <w:rPr>
          <w:sz w:val="22"/>
        </w:rPr>
        <w:t>The principles that drive the policy are the following: First, there needs to be a strong incentive structure to undertaking externally funded research within the School. Second, and linked to the first principle, a</w:t>
      </w:r>
      <w:r w:rsidRPr="00AB3400">
        <w:rPr>
          <w:sz w:val="22"/>
        </w:rPr>
        <w:t>cademics who apply for externally funded research that includes part of their salary costed time (</w:t>
      </w:r>
      <w:r w:rsidR="00AA1979" w:rsidRPr="00AB3400">
        <w:rPr>
          <w:sz w:val="22"/>
        </w:rPr>
        <w:t>‘</w:t>
      </w:r>
      <w:r w:rsidRPr="00AB3400">
        <w:rPr>
          <w:sz w:val="22"/>
        </w:rPr>
        <w:t>D</w:t>
      </w:r>
      <w:r w:rsidR="00AA1979" w:rsidRPr="00AB3400">
        <w:rPr>
          <w:sz w:val="22"/>
        </w:rPr>
        <w:t>irectly Attributable’ or D</w:t>
      </w:r>
      <w:r w:rsidRPr="00AB3400">
        <w:rPr>
          <w:sz w:val="22"/>
        </w:rPr>
        <w:t xml:space="preserve">A costs) need to have a clear sense of the implications of this for their overall workloads. </w:t>
      </w:r>
      <w:r w:rsidR="00AA1979" w:rsidRPr="00AB3400">
        <w:rPr>
          <w:sz w:val="22"/>
        </w:rPr>
        <w:t xml:space="preserve">This requires a clear and transparent </w:t>
      </w:r>
      <w:r w:rsidR="00A87DBF">
        <w:rPr>
          <w:sz w:val="22"/>
        </w:rPr>
        <w:t>workload adjustment</w:t>
      </w:r>
      <w:r w:rsidR="00AA1979" w:rsidRPr="00AB3400">
        <w:rPr>
          <w:sz w:val="22"/>
        </w:rPr>
        <w:t xml:space="preserve"> policy. Third, research funders need to be confident that the salary costed time that they are covering will be delivered by the academics they finance. Fourth, disciplines (and HoDs in particular) need to be confident that resources </w:t>
      </w:r>
      <w:r w:rsidR="00AE4CCF" w:rsidRPr="00AB3400">
        <w:rPr>
          <w:sz w:val="22"/>
        </w:rPr>
        <w:t xml:space="preserve">are </w:t>
      </w:r>
      <w:r w:rsidR="00AA1979" w:rsidRPr="00AB3400">
        <w:rPr>
          <w:sz w:val="22"/>
        </w:rPr>
        <w:t xml:space="preserve">provided </w:t>
      </w:r>
      <w:r w:rsidR="00A87DBF">
        <w:rPr>
          <w:sz w:val="22"/>
        </w:rPr>
        <w:t xml:space="preserve">for ‘research-funded ‘buy-ins’’ </w:t>
      </w:r>
      <w:r w:rsidR="00AA1979" w:rsidRPr="00AB3400">
        <w:rPr>
          <w:sz w:val="22"/>
        </w:rPr>
        <w:t xml:space="preserve">to cover costs associated with teaching </w:t>
      </w:r>
      <w:r w:rsidR="00AE4CCF" w:rsidRPr="00AB3400">
        <w:rPr>
          <w:sz w:val="22"/>
        </w:rPr>
        <w:t xml:space="preserve">and administrative provisioning linked to funded research </w:t>
      </w:r>
      <w:r w:rsidR="00A87DBF">
        <w:rPr>
          <w:sz w:val="22"/>
        </w:rPr>
        <w:t>time of colleagues</w:t>
      </w:r>
      <w:r w:rsidR="00AE4CCF" w:rsidRPr="00AB3400">
        <w:rPr>
          <w:sz w:val="22"/>
        </w:rPr>
        <w:t>. Funded research of one colleague should not imply a higher teaching and admin</w:t>
      </w:r>
      <w:r w:rsidR="00A87DBF">
        <w:rPr>
          <w:sz w:val="22"/>
        </w:rPr>
        <w:t>istrative</w:t>
      </w:r>
      <w:r w:rsidR="00AE4CCF" w:rsidRPr="00AB3400">
        <w:rPr>
          <w:sz w:val="22"/>
        </w:rPr>
        <w:t xml:space="preserve"> workload for other colleague</w:t>
      </w:r>
      <w:r w:rsidR="00A87DBF">
        <w:rPr>
          <w:sz w:val="22"/>
        </w:rPr>
        <w:t>s</w:t>
      </w:r>
      <w:r w:rsidR="00AE4CCF" w:rsidRPr="00AB3400">
        <w:rPr>
          <w:sz w:val="22"/>
        </w:rPr>
        <w:t xml:space="preserve"> who do not have funded research grants in their work portfolio. Fifth, there needs to a strengthened link between research and teaching in a School that aspires to deliver research led and research informed teaching and to perform strongly in any forthcoming teaching excellence framework exercise. Consequently, there is a clear principle that research </w:t>
      </w:r>
      <w:r w:rsidR="00C00F10">
        <w:rPr>
          <w:sz w:val="22"/>
        </w:rPr>
        <w:t>related workload adjustments</w:t>
      </w:r>
      <w:r w:rsidR="00AE4CCF" w:rsidRPr="00AB3400">
        <w:rPr>
          <w:sz w:val="22"/>
        </w:rPr>
        <w:t xml:space="preserve"> cannot lead to academic colleagues having absolutely no </w:t>
      </w:r>
      <w:r w:rsidR="00AE4CCF" w:rsidRPr="00AB3400">
        <w:rPr>
          <w:sz w:val="22"/>
        </w:rPr>
        <w:lastRenderedPageBreak/>
        <w:t xml:space="preserve">engagement with teaching and administrative tasks. </w:t>
      </w:r>
      <w:r w:rsidR="00A87DBF">
        <w:rPr>
          <w:sz w:val="22"/>
        </w:rPr>
        <w:t xml:space="preserve">Hence, a minimum level of 20% of WAM workload </w:t>
      </w:r>
      <w:r w:rsidR="00C00F10">
        <w:rPr>
          <w:sz w:val="22"/>
        </w:rPr>
        <w:t xml:space="preserve">(involving teaching and service) </w:t>
      </w:r>
      <w:r w:rsidR="00A87DBF">
        <w:rPr>
          <w:sz w:val="22"/>
        </w:rPr>
        <w:t xml:space="preserve">has to be provided by all colleagues irrespective of the level of their funded research time. Sixth, that for a workload adjustment to take place for any individual in a given year they need to have a minimum of a 10% FTE DA costed time for that year. </w:t>
      </w:r>
      <w:r w:rsidR="002D4935">
        <w:rPr>
          <w:sz w:val="22"/>
        </w:rPr>
        <w:t xml:space="preserve">Finally, to ensure </w:t>
      </w:r>
      <w:r w:rsidR="00721690">
        <w:rPr>
          <w:sz w:val="22"/>
        </w:rPr>
        <w:t>a</w:t>
      </w:r>
      <w:r w:rsidR="002D4935">
        <w:rPr>
          <w:sz w:val="22"/>
        </w:rPr>
        <w:t xml:space="preserve"> degree of uniformity in approach across the Faculty, the SEED</w:t>
      </w:r>
      <w:r w:rsidR="00721690">
        <w:rPr>
          <w:sz w:val="22"/>
        </w:rPr>
        <w:t xml:space="preserve"> policy follows </w:t>
      </w:r>
      <w:r w:rsidR="00C00F10">
        <w:rPr>
          <w:sz w:val="22"/>
        </w:rPr>
        <w:t xml:space="preserve">many of </w:t>
      </w:r>
      <w:r w:rsidR="00721690">
        <w:rPr>
          <w:sz w:val="22"/>
        </w:rPr>
        <w:t>the arrangements and practices embedded in the SoSS policy.</w:t>
      </w:r>
    </w:p>
    <w:p w:rsidR="00A87DBF" w:rsidRPr="00AB3400" w:rsidRDefault="00A87DBF" w:rsidP="00C87C4D">
      <w:pPr>
        <w:rPr>
          <w:sz w:val="22"/>
        </w:rPr>
      </w:pPr>
    </w:p>
    <w:p w:rsidR="001A694F" w:rsidRPr="00AB3400" w:rsidRDefault="00AE4CCF" w:rsidP="001A694F">
      <w:pPr>
        <w:spacing w:before="55"/>
        <w:ind w:left="152" w:right="247"/>
        <w:rPr>
          <w:b/>
          <w:sz w:val="28"/>
          <w:szCs w:val="28"/>
        </w:rPr>
      </w:pPr>
      <w:r w:rsidRPr="00AB3400">
        <w:rPr>
          <w:b/>
          <w:color w:val="234060"/>
          <w:sz w:val="28"/>
          <w:szCs w:val="28"/>
        </w:rPr>
        <w:t xml:space="preserve">SEED </w:t>
      </w:r>
      <w:r w:rsidR="001A694F" w:rsidRPr="00AB3400">
        <w:rPr>
          <w:b/>
          <w:color w:val="234060"/>
          <w:sz w:val="28"/>
          <w:szCs w:val="28"/>
        </w:rPr>
        <w:t>Research Buy-</w:t>
      </w:r>
      <w:r w:rsidR="00A87DBF">
        <w:rPr>
          <w:b/>
          <w:color w:val="234060"/>
          <w:sz w:val="28"/>
          <w:szCs w:val="28"/>
        </w:rPr>
        <w:t xml:space="preserve">In and WAM Workload Adjustment </w:t>
      </w:r>
      <w:r w:rsidR="001A694F" w:rsidRPr="00AB3400">
        <w:rPr>
          <w:b/>
          <w:color w:val="234060"/>
          <w:sz w:val="28"/>
          <w:szCs w:val="28"/>
        </w:rPr>
        <w:t>Policy</w:t>
      </w:r>
    </w:p>
    <w:p w:rsidR="001A694F" w:rsidRPr="00AB3400" w:rsidRDefault="001A694F" w:rsidP="001A694F">
      <w:pPr>
        <w:pStyle w:val="ListParagraph"/>
        <w:widowControl w:val="0"/>
        <w:numPr>
          <w:ilvl w:val="0"/>
          <w:numId w:val="19"/>
        </w:numPr>
        <w:tabs>
          <w:tab w:val="left" w:pos="873"/>
        </w:tabs>
        <w:spacing w:before="249"/>
        <w:ind w:hanging="360"/>
        <w:contextualSpacing w:val="0"/>
        <w:rPr>
          <w:sz w:val="22"/>
        </w:rPr>
      </w:pPr>
      <w:r w:rsidRPr="00AB3400">
        <w:rPr>
          <w:sz w:val="22"/>
        </w:rPr>
        <w:t>First, some basic principles when considering the management of research</w:t>
      </w:r>
      <w:r w:rsidR="00C00F10">
        <w:rPr>
          <w:sz w:val="22"/>
        </w:rPr>
        <w:t xml:space="preserve"> linked workload adjustment</w:t>
      </w:r>
      <w:r w:rsidRPr="00AB3400">
        <w:rPr>
          <w:sz w:val="22"/>
        </w:rPr>
        <w:t>:</w:t>
      </w:r>
    </w:p>
    <w:p w:rsidR="001A694F" w:rsidRPr="00AB3400" w:rsidRDefault="001A694F" w:rsidP="001A694F">
      <w:pPr>
        <w:pStyle w:val="BodyText"/>
        <w:spacing w:before="10"/>
        <w:rPr>
          <w:sz w:val="22"/>
        </w:rPr>
      </w:pPr>
    </w:p>
    <w:p w:rsidR="001A694F" w:rsidRPr="00AB3400" w:rsidRDefault="002B7DB3" w:rsidP="001A694F">
      <w:pPr>
        <w:pStyle w:val="ListParagraph"/>
        <w:widowControl w:val="0"/>
        <w:numPr>
          <w:ilvl w:val="1"/>
          <w:numId w:val="19"/>
        </w:numPr>
        <w:tabs>
          <w:tab w:val="left" w:pos="1593"/>
        </w:tabs>
        <w:ind w:right="252"/>
        <w:contextualSpacing w:val="0"/>
        <w:rPr>
          <w:sz w:val="22"/>
        </w:rPr>
      </w:pPr>
      <w:r w:rsidRPr="00AB3400">
        <w:rPr>
          <w:sz w:val="22"/>
        </w:rPr>
        <w:t xml:space="preserve">As with much of the rest of the Faculty, academics in SEED on a research and teaching contract are assumed to be engaged on 40-40-20 model whereby 40% of their time is spent on research, 40% on teaching and 20% on administrative tasks. </w:t>
      </w:r>
      <w:r w:rsidR="001A694F" w:rsidRPr="00AB3400">
        <w:rPr>
          <w:sz w:val="22"/>
        </w:rPr>
        <w:t xml:space="preserve">The WAM </w:t>
      </w:r>
      <w:r w:rsidRPr="00AB3400">
        <w:rPr>
          <w:sz w:val="22"/>
        </w:rPr>
        <w:t xml:space="preserve">model </w:t>
      </w:r>
      <w:r w:rsidR="00AA1979" w:rsidRPr="00AB3400">
        <w:rPr>
          <w:sz w:val="22"/>
        </w:rPr>
        <w:t xml:space="preserve">in SEED disciplines, however, only allocates WAM workload </w:t>
      </w:r>
      <w:r w:rsidR="001A694F" w:rsidRPr="00AB3400">
        <w:rPr>
          <w:sz w:val="22"/>
        </w:rPr>
        <w:t>points</w:t>
      </w:r>
      <w:r w:rsidR="00AA1979" w:rsidRPr="00AB3400">
        <w:rPr>
          <w:sz w:val="22"/>
        </w:rPr>
        <w:t xml:space="preserve"> for </w:t>
      </w:r>
      <w:r w:rsidR="001A694F" w:rsidRPr="00AB3400">
        <w:rPr>
          <w:sz w:val="22"/>
        </w:rPr>
        <w:t xml:space="preserve">“teaching” (which includes </w:t>
      </w:r>
      <w:r w:rsidR="00AA1979" w:rsidRPr="00AB3400">
        <w:rPr>
          <w:sz w:val="22"/>
        </w:rPr>
        <w:t xml:space="preserve">UGT, </w:t>
      </w:r>
      <w:r w:rsidR="001A694F" w:rsidRPr="00AB3400">
        <w:rPr>
          <w:sz w:val="22"/>
        </w:rPr>
        <w:t xml:space="preserve">PGT and </w:t>
      </w:r>
      <w:r w:rsidR="00AA1979" w:rsidRPr="00AB3400">
        <w:rPr>
          <w:sz w:val="22"/>
        </w:rPr>
        <w:t>PGR</w:t>
      </w:r>
      <w:r w:rsidR="001A694F" w:rsidRPr="00AB3400">
        <w:rPr>
          <w:sz w:val="22"/>
        </w:rPr>
        <w:t xml:space="preserve">) and </w:t>
      </w:r>
      <w:r w:rsidR="00AA1979" w:rsidRPr="00AB3400">
        <w:rPr>
          <w:sz w:val="22"/>
        </w:rPr>
        <w:t>for “</w:t>
      </w:r>
      <w:r w:rsidR="001A694F" w:rsidRPr="00AB3400">
        <w:rPr>
          <w:sz w:val="22"/>
        </w:rPr>
        <w:t>administration/academic-leadership</w:t>
      </w:r>
      <w:r w:rsidR="00AA1979" w:rsidRPr="00AB3400">
        <w:rPr>
          <w:sz w:val="22"/>
        </w:rPr>
        <w:t xml:space="preserve">” roles. Research is </w:t>
      </w:r>
      <w:r w:rsidR="001A694F" w:rsidRPr="00AB3400">
        <w:rPr>
          <w:sz w:val="22"/>
        </w:rPr>
        <w:t>not explicitly accounted for</w:t>
      </w:r>
      <w:r w:rsidR="00AA1979" w:rsidRPr="00AB3400">
        <w:rPr>
          <w:sz w:val="22"/>
        </w:rPr>
        <w:t xml:space="preserve"> in the WAM</w:t>
      </w:r>
      <w:r w:rsidR="001A694F" w:rsidRPr="00AB3400">
        <w:rPr>
          <w:sz w:val="22"/>
        </w:rPr>
        <w:t>. Exceptions to this 40-40-20 model will apply in the case of colleagues on teaching-only or research-related</w:t>
      </w:r>
      <w:r w:rsidR="001A694F" w:rsidRPr="00AB3400">
        <w:rPr>
          <w:spacing w:val="-30"/>
          <w:sz w:val="22"/>
        </w:rPr>
        <w:t xml:space="preserve"> </w:t>
      </w:r>
      <w:r w:rsidR="001A694F" w:rsidRPr="00AB3400">
        <w:rPr>
          <w:sz w:val="22"/>
        </w:rPr>
        <w:t>contracts.</w:t>
      </w:r>
    </w:p>
    <w:p w:rsidR="001A694F" w:rsidRPr="00AB3400" w:rsidRDefault="001A694F" w:rsidP="001A694F">
      <w:pPr>
        <w:pStyle w:val="ListParagraph"/>
        <w:widowControl w:val="0"/>
        <w:numPr>
          <w:ilvl w:val="1"/>
          <w:numId w:val="19"/>
        </w:numPr>
        <w:tabs>
          <w:tab w:val="left" w:pos="1593"/>
        </w:tabs>
        <w:ind w:right="398"/>
        <w:contextualSpacing w:val="0"/>
        <w:rPr>
          <w:sz w:val="22"/>
        </w:rPr>
      </w:pPr>
      <w:r w:rsidRPr="00AB3400">
        <w:rPr>
          <w:sz w:val="22"/>
        </w:rPr>
        <w:t>Academics are expected to apply for research grants as part of their normal duties. Successful grant capture is one of the indicators of research performance for promotion and Professorial salary</w:t>
      </w:r>
      <w:r w:rsidRPr="00AB3400">
        <w:rPr>
          <w:spacing w:val="-12"/>
          <w:sz w:val="22"/>
        </w:rPr>
        <w:t xml:space="preserve"> </w:t>
      </w:r>
      <w:r w:rsidRPr="00AB3400">
        <w:rPr>
          <w:sz w:val="22"/>
        </w:rPr>
        <w:t>review.</w:t>
      </w:r>
    </w:p>
    <w:p w:rsidR="00CD5A2D" w:rsidRDefault="00CD5A2D" w:rsidP="001A694F">
      <w:pPr>
        <w:pStyle w:val="ListParagraph"/>
        <w:widowControl w:val="0"/>
        <w:numPr>
          <w:ilvl w:val="1"/>
          <w:numId w:val="19"/>
        </w:numPr>
        <w:tabs>
          <w:tab w:val="left" w:pos="1593"/>
        </w:tabs>
        <w:spacing w:before="2"/>
        <w:ind w:right="439"/>
        <w:contextualSpacing w:val="0"/>
        <w:rPr>
          <w:sz w:val="22"/>
        </w:rPr>
      </w:pPr>
      <w:r>
        <w:rPr>
          <w:sz w:val="22"/>
        </w:rPr>
        <w:t>The workload adjustment policy will only come into effect where DA salary costs that cover overheads are brought in through research grants.</w:t>
      </w:r>
    </w:p>
    <w:p w:rsidR="001A694F" w:rsidRPr="00AB3400" w:rsidRDefault="001A694F" w:rsidP="001A694F">
      <w:pPr>
        <w:pStyle w:val="ListParagraph"/>
        <w:widowControl w:val="0"/>
        <w:numPr>
          <w:ilvl w:val="1"/>
          <w:numId w:val="19"/>
        </w:numPr>
        <w:tabs>
          <w:tab w:val="left" w:pos="1593"/>
        </w:tabs>
        <w:spacing w:before="2"/>
        <w:ind w:right="439"/>
        <w:contextualSpacing w:val="0"/>
        <w:rPr>
          <w:sz w:val="22"/>
        </w:rPr>
      </w:pPr>
      <w:r w:rsidRPr="00AB3400">
        <w:rPr>
          <w:sz w:val="22"/>
        </w:rPr>
        <w:t>The elements of research grants that are to pay for indirect and estates costs (fEC) are there precisely to do</w:t>
      </w:r>
      <w:r w:rsidRPr="00AB3400">
        <w:rPr>
          <w:spacing w:val="-13"/>
          <w:sz w:val="22"/>
        </w:rPr>
        <w:t xml:space="preserve"> </w:t>
      </w:r>
      <w:r w:rsidRPr="00AB3400">
        <w:rPr>
          <w:sz w:val="22"/>
        </w:rPr>
        <w:t>that.</w:t>
      </w:r>
    </w:p>
    <w:p w:rsidR="001A694F" w:rsidRPr="00AB3400" w:rsidRDefault="001A694F" w:rsidP="001A694F">
      <w:pPr>
        <w:pStyle w:val="ListParagraph"/>
        <w:widowControl w:val="0"/>
        <w:numPr>
          <w:ilvl w:val="1"/>
          <w:numId w:val="19"/>
        </w:numPr>
        <w:tabs>
          <w:tab w:val="left" w:pos="1593"/>
        </w:tabs>
        <w:ind w:right="348"/>
        <w:contextualSpacing w:val="0"/>
        <w:rPr>
          <w:sz w:val="22"/>
        </w:rPr>
      </w:pPr>
      <w:r w:rsidRPr="00AB3400">
        <w:rPr>
          <w:sz w:val="22"/>
        </w:rPr>
        <w:t>Only part of HEFCE QR funding is for ‘quality related’ research and much of it is to compensate for the estates and overhead costs of PGR students and charitable research, on which only a small proportion of fEC (full economic costing) is recovered. The current allocation of QR equates to approximately 20% of academic staff time in a notional working week (year</w:t>
      </w:r>
      <w:r w:rsidRPr="00AB3400">
        <w:rPr>
          <w:spacing w:val="-22"/>
          <w:sz w:val="22"/>
        </w:rPr>
        <w:t xml:space="preserve"> </w:t>
      </w:r>
      <w:r w:rsidRPr="00AB3400">
        <w:rPr>
          <w:sz w:val="22"/>
        </w:rPr>
        <w:t>round).</w:t>
      </w:r>
    </w:p>
    <w:p w:rsidR="001A694F" w:rsidRDefault="001A694F" w:rsidP="001A694F">
      <w:pPr>
        <w:pStyle w:val="ListParagraph"/>
        <w:widowControl w:val="0"/>
        <w:numPr>
          <w:ilvl w:val="1"/>
          <w:numId w:val="19"/>
        </w:numPr>
        <w:tabs>
          <w:tab w:val="left" w:pos="1593"/>
        </w:tabs>
        <w:ind w:right="686"/>
        <w:contextualSpacing w:val="0"/>
        <w:rPr>
          <w:sz w:val="22"/>
        </w:rPr>
      </w:pPr>
      <w:r w:rsidRPr="00AB3400">
        <w:rPr>
          <w:sz w:val="22"/>
        </w:rPr>
        <w:t>In addition, usually at most only 80% (often less) of actual staff time cost can be recovered from the research award</w:t>
      </w:r>
      <w:r w:rsidRPr="00AB3400">
        <w:rPr>
          <w:spacing w:val="-15"/>
          <w:sz w:val="22"/>
        </w:rPr>
        <w:t xml:space="preserve"> </w:t>
      </w:r>
      <w:r w:rsidRPr="00AB3400">
        <w:rPr>
          <w:sz w:val="22"/>
        </w:rPr>
        <w:t>funder.</w:t>
      </w:r>
    </w:p>
    <w:p w:rsidR="00CD5A2D" w:rsidRPr="00AB3400" w:rsidRDefault="00CD5A2D" w:rsidP="001A694F">
      <w:pPr>
        <w:pStyle w:val="ListParagraph"/>
        <w:widowControl w:val="0"/>
        <w:numPr>
          <w:ilvl w:val="1"/>
          <w:numId w:val="19"/>
        </w:numPr>
        <w:tabs>
          <w:tab w:val="left" w:pos="1593"/>
        </w:tabs>
        <w:ind w:right="686"/>
        <w:contextualSpacing w:val="0"/>
        <w:rPr>
          <w:sz w:val="22"/>
        </w:rPr>
      </w:pPr>
      <w:r>
        <w:rPr>
          <w:sz w:val="22"/>
        </w:rPr>
        <w:t>Finally, in order for a WAM workload adjustment in any given year to come into effect there has to be a minimum threshold level of 10%FTE DA costed time in that year.</w:t>
      </w:r>
    </w:p>
    <w:p w:rsidR="001A694F" w:rsidRPr="00AB3400" w:rsidRDefault="001A694F" w:rsidP="001A694F">
      <w:pPr>
        <w:pStyle w:val="BodyText"/>
        <w:spacing w:before="10"/>
        <w:rPr>
          <w:sz w:val="22"/>
        </w:rPr>
      </w:pPr>
    </w:p>
    <w:p w:rsidR="001A694F" w:rsidRPr="00AB3400" w:rsidRDefault="001A694F" w:rsidP="001A694F">
      <w:pPr>
        <w:pStyle w:val="BodyText"/>
        <w:ind w:left="860" w:right="247"/>
        <w:rPr>
          <w:sz w:val="22"/>
        </w:rPr>
      </w:pPr>
      <w:r w:rsidRPr="00AB3400">
        <w:rPr>
          <w:sz w:val="22"/>
        </w:rPr>
        <w:t xml:space="preserve">Hence, any grant income </w:t>
      </w:r>
      <w:r w:rsidRPr="00AB3400">
        <w:rPr>
          <w:i/>
          <w:sz w:val="22"/>
        </w:rPr>
        <w:t xml:space="preserve">recovered </w:t>
      </w:r>
      <w:r w:rsidRPr="00AB3400">
        <w:rPr>
          <w:sz w:val="22"/>
        </w:rPr>
        <w:t>(i.e., awarded) against PI or Co-I (</w:t>
      </w:r>
      <w:r w:rsidRPr="00AB3400">
        <w:rPr>
          <w:i/>
          <w:sz w:val="22"/>
        </w:rPr>
        <w:t>Directly Attributable</w:t>
      </w:r>
      <w:r w:rsidRPr="00AB3400">
        <w:rPr>
          <w:sz w:val="22"/>
        </w:rPr>
        <w:t xml:space="preserve">) staff time must be employed to </w:t>
      </w:r>
      <w:r w:rsidRPr="00AB3400">
        <w:rPr>
          <w:b/>
          <w:i/>
          <w:sz w:val="22"/>
        </w:rPr>
        <w:t xml:space="preserve">help </w:t>
      </w:r>
      <w:r w:rsidRPr="00AB3400">
        <w:rPr>
          <w:sz w:val="22"/>
        </w:rPr>
        <w:t>defray the costs of currently</w:t>
      </w:r>
      <w:r w:rsidR="00AB3400">
        <w:rPr>
          <w:sz w:val="22"/>
        </w:rPr>
        <w:t xml:space="preserve"> unfunded research time and can</w:t>
      </w:r>
      <w:r w:rsidRPr="00AB3400">
        <w:rPr>
          <w:sz w:val="22"/>
        </w:rPr>
        <w:t xml:space="preserve">not be used </w:t>
      </w:r>
      <w:r w:rsidRPr="00AB3400">
        <w:rPr>
          <w:b/>
          <w:i/>
          <w:sz w:val="22"/>
        </w:rPr>
        <w:t xml:space="preserve">solely </w:t>
      </w:r>
      <w:r w:rsidRPr="00AB3400">
        <w:rPr>
          <w:sz w:val="22"/>
        </w:rPr>
        <w:t>(if at all for modest, or zero, amounts of recovered staff costs) to relieve staff of teaching and service/leadership contractual obligations.</w:t>
      </w:r>
      <w:r w:rsidR="00E629F2">
        <w:rPr>
          <w:sz w:val="22"/>
        </w:rPr>
        <w:t xml:space="preserve"> </w:t>
      </w:r>
      <w:r w:rsidR="00E629F2" w:rsidRPr="00E629F2">
        <w:rPr>
          <w:b/>
          <w:sz w:val="22"/>
        </w:rPr>
        <w:t xml:space="preserve">Consequently, the </w:t>
      </w:r>
      <w:r w:rsidR="00D85C77">
        <w:rPr>
          <w:b/>
          <w:sz w:val="22"/>
        </w:rPr>
        <w:t xml:space="preserve">SEED </w:t>
      </w:r>
      <w:r w:rsidR="00E629F2" w:rsidRPr="00E629F2">
        <w:rPr>
          <w:b/>
          <w:sz w:val="22"/>
        </w:rPr>
        <w:t>research policy will only operate where colleagues have at least 10% of their FTE time covered through DA funded staff costs.</w:t>
      </w:r>
    </w:p>
    <w:p w:rsidR="001A694F" w:rsidRPr="00AB3400" w:rsidRDefault="001A694F" w:rsidP="001A694F">
      <w:pPr>
        <w:pStyle w:val="BodyText"/>
        <w:spacing w:before="11"/>
        <w:rPr>
          <w:sz w:val="22"/>
        </w:rPr>
      </w:pPr>
    </w:p>
    <w:p w:rsidR="001A694F" w:rsidRPr="00AB3400" w:rsidRDefault="001A694F" w:rsidP="001A694F">
      <w:pPr>
        <w:pStyle w:val="BodyText"/>
        <w:spacing w:line="280" w:lineRule="exact"/>
        <w:ind w:left="860" w:right="247"/>
        <w:rPr>
          <w:sz w:val="22"/>
        </w:rPr>
      </w:pPr>
      <w:r w:rsidRPr="00AB3400">
        <w:rPr>
          <w:sz w:val="22"/>
        </w:rPr>
        <w:t>However:</w:t>
      </w:r>
    </w:p>
    <w:p w:rsidR="001A694F" w:rsidRPr="00AB3400" w:rsidRDefault="001A694F" w:rsidP="001A694F">
      <w:pPr>
        <w:pStyle w:val="ListParagraph"/>
        <w:widowControl w:val="0"/>
        <w:numPr>
          <w:ilvl w:val="0"/>
          <w:numId w:val="20"/>
        </w:numPr>
        <w:tabs>
          <w:tab w:val="left" w:pos="1593"/>
        </w:tabs>
        <w:ind w:right="553"/>
        <w:contextualSpacing w:val="0"/>
        <w:rPr>
          <w:sz w:val="22"/>
        </w:rPr>
      </w:pPr>
      <w:r w:rsidRPr="00AB3400">
        <w:rPr>
          <w:sz w:val="22"/>
        </w:rPr>
        <w:t xml:space="preserve">There will be a need for special arrangements for </w:t>
      </w:r>
      <w:r w:rsidR="00AE4CCF" w:rsidRPr="00AB3400">
        <w:rPr>
          <w:sz w:val="22"/>
        </w:rPr>
        <w:t xml:space="preserve">externally funded </w:t>
      </w:r>
      <w:r w:rsidRPr="00AB3400">
        <w:rPr>
          <w:sz w:val="22"/>
        </w:rPr>
        <w:t>research centre directors, to be agreed in advance of any</w:t>
      </w:r>
      <w:r w:rsidRPr="00AB3400">
        <w:rPr>
          <w:spacing w:val="-16"/>
          <w:sz w:val="22"/>
        </w:rPr>
        <w:t xml:space="preserve"> </w:t>
      </w:r>
      <w:r w:rsidRPr="00AB3400">
        <w:rPr>
          <w:sz w:val="22"/>
        </w:rPr>
        <w:t>application.</w:t>
      </w:r>
    </w:p>
    <w:p w:rsidR="001A694F" w:rsidRPr="00AB3400" w:rsidRDefault="001A694F" w:rsidP="001A694F">
      <w:pPr>
        <w:pStyle w:val="ListParagraph"/>
        <w:widowControl w:val="0"/>
        <w:numPr>
          <w:ilvl w:val="0"/>
          <w:numId w:val="20"/>
        </w:numPr>
        <w:tabs>
          <w:tab w:val="left" w:pos="1593"/>
        </w:tabs>
        <w:ind w:right="161"/>
        <w:contextualSpacing w:val="0"/>
        <w:rPr>
          <w:sz w:val="22"/>
        </w:rPr>
      </w:pPr>
      <w:r w:rsidRPr="00AB3400">
        <w:rPr>
          <w:sz w:val="22"/>
        </w:rPr>
        <w:lastRenderedPageBreak/>
        <w:t xml:space="preserve">Where a grant is explicitly for a research fellowship (e.g. Leverhulme Major Research Fellowship), or academic leave (e.g. AHRC Research Leave Award) then the terms of that grant will be honoured. That is, if the award only pays teaching replacement up to an upper limit (below the cost of the </w:t>
      </w:r>
      <w:r w:rsidRPr="00AB3400">
        <w:rPr>
          <w:i/>
          <w:sz w:val="22"/>
        </w:rPr>
        <w:t xml:space="preserve">Directly Attributable </w:t>
      </w:r>
      <w:r w:rsidRPr="00AB3400">
        <w:rPr>
          <w:sz w:val="22"/>
        </w:rPr>
        <w:t>staff time), then the staff time commitment will still be</w:t>
      </w:r>
      <w:r w:rsidRPr="00AB3400">
        <w:rPr>
          <w:spacing w:val="-10"/>
          <w:sz w:val="22"/>
        </w:rPr>
        <w:t xml:space="preserve"> </w:t>
      </w:r>
      <w:r w:rsidRPr="00AB3400">
        <w:rPr>
          <w:sz w:val="22"/>
        </w:rPr>
        <w:t>honoured.</w:t>
      </w:r>
    </w:p>
    <w:p w:rsidR="001A694F" w:rsidRPr="00AB3400" w:rsidRDefault="001A694F" w:rsidP="001A694F">
      <w:pPr>
        <w:pStyle w:val="BodyText"/>
        <w:spacing w:before="10"/>
        <w:rPr>
          <w:sz w:val="22"/>
        </w:rPr>
      </w:pPr>
    </w:p>
    <w:p w:rsidR="001A694F" w:rsidRPr="008F3A4A" w:rsidRDefault="001A694F" w:rsidP="001A694F">
      <w:pPr>
        <w:pStyle w:val="ListParagraph"/>
        <w:widowControl w:val="0"/>
        <w:numPr>
          <w:ilvl w:val="0"/>
          <w:numId w:val="19"/>
        </w:numPr>
        <w:tabs>
          <w:tab w:val="left" w:pos="873"/>
        </w:tabs>
        <w:spacing w:before="49"/>
        <w:ind w:left="472" w:right="138" w:hanging="360"/>
        <w:contextualSpacing w:val="0"/>
        <w:rPr>
          <w:sz w:val="22"/>
        </w:rPr>
      </w:pPr>
      <w:r w:rsidRPr="00AB3400">
        <w:rPr>
          <w:sz w:val="22"/>
        </w:rPr>
        <w:t xml:space="preserve">With the above in mind, and prior to a grant application being made, the academic colleague will have discussions with </w:t>
      </w:r>
      <w:r w:rsidRPr="008F3A4A">
        <w:rPr>
          <w:sz w:val="22"/>
        </w:rPr>
        <w:t>the School Research Support Officer(s), within the ALB Research Hub, and the colleague’s line manager about the level of commitment that the project will require and its implications for the colleague’s WAM load.</w:t>
      </w:r>
      <w:r w:rsidR="00507A76" w:rsidRPr="008F3A4A">
        <w:rPr>
          <w:sz w:val="22"/>
        </w:rPr>
        <w:t xml:space="preserve"> These discussions should include detail of how they consider the WAM load can be cove red by offering suggested teaching/research activity which could be undertaken by others, and if relevant aiding their line manager/HoD with a search for replacement  bought-in teaching etc. However, it should be noted that the final decision about how buy-in is delivered and what activities will be “replaced” will sit with the HoD.  </w:t>
      </w:r>
      <w:r w:rsidRPr="008F3A4A">
        <w:rPr>
          <w:sz w:val="22"/>
        </w:rPr>
        <w:t xml:space="preserve"> The line manager, usually HoD</w:t>
      </w:r>
      <w:r w:rsidR="00AE4CCF" w:rsidRPr="008F3A4A">
        <w:rPr>
          <w:sz w:val="22"/>
        </w:rPr>
        <w:t>s</w:t>
      </w:r>
      <w:r w:rsidRPr="008F3A4A">
        <w:rPr>
          <w:sz w:val="22"/>
        </w:rPr>
        <w:t>, will</w:t>
      </w:r>
      <w:r w:rsidRPr="008F3A4A">
        <w:rPr>
          <w:spacing w:val="-4"/>
          <w:sz w:val="22"/>
        </w:rPr>
        <w:t xml:space="preserve"> </w:t>
      </w:r>
      <w:r w:rsidRPr="008F3A4A">
        <w:rPr>
          <w:sz w:val="22"/>
        </w:rPr>
        <w:t>be</w:t>
      </w:r>
      <w:r w:rsidRPr="008F3A4A">
        <w:rPr>
          <w:spacing w:val="-3"/>
          <w:sz w:val="22"/>
        </w:rPr>
        <w:t xml:space="preserve"> </w:t>
      </w:r>
      <w:r w:rsidRPr="008F3A4A">
        <w:rPr>
          <w:sz w:val="22"/>
        </w:rPr>
        <w:t>required</w:t>
      </w:r>
      <w:r w:rsidRPr="008F3A4A">
        <w:rPr>
          <w:spacing w:val="-4"/>
          <w:sz w:val="22"/>
        </w:rPr>
        <w:t xml:space="preserve"> </w:t>
      </w:r>
      <w:r w:rsidRPr="008F3A4A">
        <w:rPr>
          <w:sz w:val="22"/>
        </w:rPr>
        <w:t>to</w:t>
      </w:r>
      <w:r w:rsidRPr="008F3A4A">
        <w:rPr>
          <w:spacing w:val="-3"/>
          <w:sz w:val="22"/>
        </w:rPr>
        <w:t xml:space="preserve"> </w:t>
      </w:r>
      <w:r w:rsidRPr="008F3A4A">
        <w:rPr>
          <w:sz w:val="22"/>
        </w:rPr>
        <w:t>indicate</w:t>
      </w:r>
      <w:r w:rsidRPr="008F3A4A">
        <w:rPr>
          <w:spacing w:val="-3"/>
          <w:sz w:val="22"/>
        </w:rPr>
        <w:t xml:space="preserve"> </w:t>
      </w:r>
      <w:r w:rsidRPr="008F3A4A">
        <w:rPr>
          <w:sz w:val="22"/>
        </w:rPr>
        <w:t>that</w:t>
      </w:r>
      <w:r w:rsidRPr="008F3A4A">
        <w:rPr>
          <w:spacing w:val="-3"/>
          <w:sz w:val="22"/>
        </w:rPr>
        <w:t xml:space="preserve"> </w:t>
      </w:r>
      <w:r w:rsidRPr="008F3A4A">
        <w:rPr>
          <w:sz w:val="22"/>
        </w:rPr>
        <w:t>the</w:t>
      </w:r>
      <w:r w:rsidRPr="008F3A4A">
        <w:rPr>
          <w:spacing w:val="-3"/>
          <w:sz w:val="22"/>
        </w:rPr>
        <w:t xml:space="preserve"> </w:t>
      </w:r>
      <w:r w:rsidRPr="008F3A4A">
        <w:rPr>
          <w:sz w:val="22"/>
        </w:rPr>
        <w:t>issue</w:t>
      </w:r>
      <w:r w:rsidRPr="008F3A4A">
        <w:rPr>
          <w:spacing w:val="-4"/>
          <w:sz w:val="22"/>
        </w:rPr>
        <w:t xml:space="preserve"> </w:t>
      </w:r>
      <w:r w:rsidRPr="008F3A4A">
        <w:rPr>
          <w:sz w:val="22"/>
        </w:rPr>
        <w:t>has</w:t>
      </w:r>
      <w:r w:rsidRPr="008F3A4A">
        <w:rPr>
          <w:spacing w:val="-4"/>
          <w:sz w:val="22"/>
        </w:rPr>
        <w:t xml:space="preserve"> </w:t>
      </w:r>
      <w:r w:rsidRPr="008F3A4A">
        <w:rPr>
          <w:sz w:val="22"/>
        </w:rPr>
        <w:t>been</w:t>
      </w:r>
      <w:r w:rsidRPr="008F3A4A">
        <w:rPr>
          <w:spacing w:val="-3"/>
          <w:sz w:val="22"/>
        </w:rPr>
        <w:t xml:space="preserve"> </w:t>
      </w:r>
      <w:r w:rsidRPr="008F3A4A">
        <w:rPr>
          <w:sz w:val="22"/>
        </w:rPr>
        <w:t>fully</w:t>
      </w:r>
      <w:r w:rsidRPr="008F3A4A">
        <w:rPr>
          <w:spacing w:val="-4"/>
          <w:sz w:val="22"/>
        </w:rPr>
        <w:t xml:space="preserve"> </w:t>
      </w:r>
      <w:r w:rsidRPr="008F3A4A">
        <w:rPr>
          <w:sz w:val="22"/>
        </w:rPr>
        <w:t>considered</w:t>
      </w:r>
      <w:r w:rsidRPr="008F3A4A">
        <w:rPr>
          <w:spacing w:val="-5"/>
          <w:sz w:val="22"/>
        </w:rPr>
        <w:t xml:space="preserve"> </w:t>
      </w:r>
      <w:r w:rsidRPr="008F3A4A">
        <w:rPr>
          <w:sz w:val="22"/>
        </w:rPr>
        <w:t>before</w:t>
      </w:r>
      <w:r w:rsidRPr="008F3A4A">
        <w:rPr>
          <w:spacing w:val="-3"/>
          <w:sz w:val="22"/>
        </w:rPr>
        <w:t xml:space="preserve"> </w:t>
      </w:r>
      <w:r w:rsidRPr="008F3A4A">
        <w:rPr>
          <w:sz w:val="22"/>
        </w:rPr>
        <w:t>signing</w:t>
      </w:r>
      <w:r w:rsidRPr="008F3A4A">
        <w:rPr>
          <w:spacing w:val="-4"/>
          <w:sz w:val="22"/>
        </w:rPr>
        <w:t xml:space="preserve"> </w:t>
      </w:r>
      <w:r w:rsidRPr="008F3A4A">
        <w:rPr>
          <w:sz w:val="22"/>
        </w:rPr>
        <w:t>the</w:t>
      </w:r>
      <w:r w:rsidR="00AE4CCF" w:rsidRPr="008F3A4A">
        <w:rPr>
          <w:sz w:val="22"/>
        </w:rPr>
        <w:t xml:space="preserve"> </w:t>
      </w:r>
      <w:r w:rsidRPr="008F3A4A">
        <w:rPr>
          <w:sz w:val="22"/>
        </w:rPr>
        <w:t xml:space="preserve">Research Proposal Approval (RPA) Form, taking into consideration the following (given the current </w:t>
      </w:r>
      <w:r w:rsidR="00AE4CCF" w:rsidRPr="008F3A4A">
        <w:rPr>
          <w:sz w:val="22"/>
        </w:rPr>
        <w:t>SEED</w:t>
      </w:r>
      <w:r w:rsidRPr="008F3A4A">
        <w:rPr>
          <w:sz w:val="22"/>
        </w:rPr>
        <w:t xml:space="preserve"> WAM):</w:t>
      </w:r>
    </w:p>
    <w:p w:rsidR="001A694F" w:rsidRPr="00AB3400" w:rsidRDefault="001A694F" w:rsidP="001A694F">
      <w:pPr>
        <w:pStyle w:val="BodyText"/>
        <w:spacing w:before="11"/>
        <w:rPr>
          <w:sz w:val="22"/>
        </w:rPr>
      </w:pPr>
    </w:p>
    <w:p w:rsidR="001A694F" w:rsidRPr="00AB3400" w:rsidRDefault="001A694F" w:rsidP="001A694F">
      <w:pPr>
        <w:pStyle w:val="ListParagraph"/>
        <w:widowControl w:val="0"/>
        <w:numPr>
          <w:ilvl w:val="1"/>
          <w:numId w:val="19"/>
        </w:numPr>
        <w:tabs>
          <w:tab w:val="left" w:pos="1193"/>
        </w:tabs>
        <w:ind w:left="1192" w:right="192"/>
        <w:contextualSpacing w:val="0"/>
        <w:rPr>
          <w:sz w:val="22"/>
        </w:rPr>
      </w:pPr>
      <w:r w:rsidRPr="00AB3400">
        <w:rPr>
          <w:sz w:val="22"/>
        </w:rPr>
        <w:t xml:space="preserve">In principle, ALL </w:t>
      </w:r>
      <w:r w:rsidRPr="00AB3400">
        <w:rPr>
          <w:i/>
          <w:sz w:val="22"/>
        </w:rPr>
        <w:t xml:space="preserve">Directly Attributable </w:t>
      </w:r>
      <w:r w:rsidRPr="00AB3400">
        <w:rPr>
          <w:sz w:val="22"/>
        </w:rPr>
        <w:t xml:space="preserve">staff time that is committed to the research project will be distributed </w:t>
      </w:r>
      <w:r w:rsidRPr="00AB3400">
        <w:rPr>
          <w:i/>
          <w:sz w:val="22"/>
        </w:rPr>
        <w:t xml:space="preserve">uniformly </w:t>
      </w:r>
      <w:r w:rsidRPr="00AB3400">
        <w:rPr>
          <w:sz w:val="22"/>
        </w:rPr>
        <w:t xml:space="preserve">across all areas of activity in the assumed 40- 40-20 model, described in 1(a). In effect, this is accounted for in the WAM by applying the same percentage reduction to both the total expected teaching </w:t>
      </w:r>
      <w:r w:rsidR="00AE4CCF" w:rsidRPr="00AB3400">
        <w:rPr>
          <w:sz w:val="22"/>
        </w:rPr>
        <w:t xml:space="preserve">(including exam marking and supervision) and </w:t>
      </w:r>
      <w:r w:rsidRPr="00AB3400">
        <w:rPr>
          <w:sz w:val="22"/>
        </w:rPr>
        <w:t xml:space="preserve">administration activities in the model. </w:t>
      </w:r>
      <w:r w:rsidR="00AB3400">
        <w:rPr>
          <w:i/>
          <w:sz w:val="22"/>
        </w:rPr>
        <w:t>HoDs</w:t>
      </w:r>
      <w:r w:rsidRPr="00AB3400">
        <w:rPr>
          <w:i/>
          <w:sz w:val="22"/>
        </w:rPr>
        <w:t xml:space="preserve"> will have discretion to vary the total WAM reductions across </w:t>
      </w:r>
      <w:r w:rsidR="00AB3400">
        <w:rPr>
          <w:i/>
          <w:sz w:val="22"/>
        </w:rPr>
        <w:t xml:space="preserve">teaching and administrative </w:t>
      </w:r>
      <w:r w:rsidRPr="00AB3400">
        <w:rPr>
          <w:i/>
          <w:sz w:val="22"/>
        </w:rPr>
        <w:t>activities, which may be zero for unplanned/unfunded and modest amounts of staff time</w:t>
      </w:r>
      <w:r w:rsidRPr="00AB3400">
        <w:rPr>
          <w:sz w:val="22"/>
        </w:rPr>
        <w:t>. The WAM should be flexible enough to make allowances for grants that fall across more than one academic</w:t>
      </w:r>
      <w:r w:rsidRPr="00AB3400">
        <w:rPr>
          <w:spacing w:val="-27"/>
          <w:sz w:val="22"/>
        </w:rPr>
        <w:t xml:space="preserve"> </w:t>
      </w:r>
      <w:r w:rsidRPr="00AB3400">
        <w:rPr>
          <w:sz w:val="22"/>
        </w:rPr>
        <w:t>year.</w:t>
      </w:r>
    </w:p>
    <w:p w:rsidR="001A694F" w:rsidRPr="00AB3400" w:rsidRDefault="001A694F" w:rsidP="001A694F">
      <w:pPr>
        <w:pStyle w:val="BodyText"/>
        <w:spacing w:before="1"/>
        <w:rPr>
          <w:sz w:val="22"/>
        </w:rPr>
      </w:pPr>
    </w:p>
    <w:p w:rsidR="001A694F" w:rsidRPr="00AB3400" w:rsidRDefault="001A694F" w:rsidP="001A694F">
      <w:pPr>
        <w:pStyle w:val="BodyText"/>
        <w:spacing w:before="1"/>
        <w:ind w:left="1192" w:right="459"/>
        <w:rPr>
          <w:sz w:val="22"/>
        </w:rPr>
      </w:pPr>
      <w:r w:rsidRPr="00AB3400">
        <w:rPr>
          <w:sz w:val="22"/>
        </w:rPr>
        <w:t xml:space="preserve">The algorithm will work as follows. Let </w:t>
      </w:r>
      <w:r w:rsidRPr="00AB3400">
        <w:rPr>
          <w:b/>
          <w:sz w:val="22"/>
        </w:rPr>
        <w:t xml:space="preserve">R </w:t>
      </w:r>
      <w:r w:rsidRPr="00AB3400">
        <w:rPr>
          <w:sz w:val="22"/>
        </w:rPr>
        <w:t xml:space="preserve">denote percentage of time on Research activity, separated out into the agreed external Research (or research buy-out) percentage time, denoted </w:t>
      </w:r>
      <w:r w:rsidRPr="00AB3400">
        <w:rPr>
          <w:b/>
          <w:sz w:val="22"/>
        </w:rPr>
        <w:t>R EXT</w:t>
      </w:r>
      <w:r w:rsidRPr="00AB3400">
        <w:rPr>
          <w:sz w:val="22"/>
        </w:rPr>
        <w:t xml:space="preserve">, and QR/University funded Research percentage time, denoted </w:t>
      </w:r>
      <w:r w:rsidRPr="00AB3400">
        <w:rPr>
          <w:b/>
          <w:sz w:val="22"/>
        </w:rPr>
        <w:t>R QR</w:t>
      </w:r>
      <w:r w:rsidRPr="00AB3400">
        <w:rPr>
          <w:sz w:val="22"/>
        </w:rPr>
        <w:t xml:space="preserve">. Percentage of time devoted to Teaching and Administrative obligations will be denoted </w:t>
      </w:r>
      <w:r w:rsidRPr="00AB3400">
        <w:rPr>
          <w:b/>
          <w:sz w:val="22"/>
        </w:rPr>
        <w:t xml:space="preserve">T </w:t>
      </w:r>
      <w:r w:rsidRPr="00AB3400">
        <w:rPr>
          <w:sz w:val="22"/>
        </w:rPr>
        <w:t xml:space="preserve">and </w:t>
      </w:r>
      <w:r w:rsidRPr="00AB3400">
        <w:rPr>
          <w:b/>
          <w:sz w:val="22"/>
        </w:rPr>
        <w:t>A</w:t>
      </w:r>
      <w:r w:rsidRPr="00AB3400">
        <w:rPr>
          <w:sz w:val="22"/>
        </w:rPr>
        <w:t>, respectively.</w:t>
      </w:r>
    </w:p>
    <w:p w:rsidR="001A694F" w:rsidRPr="00AB3400" w:rsidRDefault="001A694F" w:rsidP="001A694F">
      <w:pPr>
        <w:pStyle w:val="BodyText"/>
        <w:spacing w:line="281" w:lineRule="exact"/>
        <w:ind w:left="1192" w:right="138"/>
        <w:rPr>
          <w:sz w:val="22"/>
        </w:rPr>
      </w:pPr>
      <w:r w:rsidRPr="00AB3400">
        <w:rPr>
          <w:sz w:val="22"/>
        </w:rPr>
        <w:t xml:space="preserve">If </w:t>
      </w:r>
      <w:r w:rsidRPr="00AB3400">
        <w:rPr>
          <w:b/>
          <w:sz w:val="22"/>
        </w:rPr>
        <w:t>R EXT = 0</w:t>
      </w:r>
      <w:r w:rsidRPr="00AB3400">
        <w:rPr>
          <w:sz w:val="22"/>
        </w:rPr>
        <w:t>, then the nominal percentage allocation of time will be</w:t>
      </w:r>
    </w:p>
    <w:p w:rsidR="001A694F" w:rsidRPr="00AB3400" w:rsidRDefault="001A694F" w:rsidP="001A694F">
      <w:pPr>
        <w:pStyle w:val="BodyText"/>
        <w:spacing w:before="1"/>
        <w:rPr>
          <w:sz w:val="22"/>
        </w:rPr>
      </w:pPr>
    </w:p>
    <w:tbl>
      <w:tblPr>
        <w:tblW w:w="0" w:type="auto"/>
        <w:tblInd w:w="2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135"/>
        <w:gridCol w:w="1133"/>
        <w:gridCol w:w="1135"/>
      </w:tblGrid>
      <w:tr w:rsidR="001A694F" w:rsidRPr="00AB3400" w:rsidTr="001A694F">
        <w:trPr>
          <w:trHeight w:hRule="exact" w:val="290"/>
        </w:trPr>
        <w:tc>
          <w:tcPr>
            <w:tcW w:w="1133"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left="214" w:right="217"/>
              <w:rPr>
                <w:b/>
                <w:lang w:val="en-US"/>
              </w:rPr>
            </w:pPr>
            <w:r w:rsidRPr="00AB3400">
              <w:rPr>
                <w:b/>
              </w:rPr>
              <w:t>R EXT</w:t>
            </w:r>
          </w:p>
        </w:tc>
        <w:tc>
          <w:tcPr>
            <w:tcW w:w="1135"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left="274" w:right="274"/>
              <w:rPr>
                <w:b/>
                <w:lang w:val="en-US"/>
              </w:rPr>
            </w:pPr>
            <w:r w:rsidRPr="00AB3400">
              <w:rPr>
                <w:b/>
              </w:rPr>
              <w:t>R QR</w:t>
            </w:r>
          </w:p>
        </w:tc>
        <w:tc>
          <w:tcPr>
            <w:tcW w:w="1133"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right="2"/>
              <w:rPr>
                <w:b/>
                <w:lang w:val="en-US"/>
              </w:rPr>
            </w:pPr>
            <w:r w:rsidRPr="00AB3400">
              <w:rPr>
                <w:b/>
              </w:rPr>
              <w:t>T</w:t>
            </w:r>
          </w:p>
        </w:tc>
        <w:tc>
          <w:tcPr>
            <w:tcW w:w="1135"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right="2"/>
              <w:rPr>
                <w:b/>
                <w:lang w:val="en-US"/>
              </w:rPr>
            </w:pPr>
            <w:r w:rsidRPr="00AB3400">
              <w:rPr>
                <w:b/>
              </w:rPr>
              <w:t>A</w:t>
            </w:r>
          </w:p>
        </w:tc>
      </w:tr>
      <w:tr w:rsidR="001A694F" w:rsidRPr="00AB3400" w:rsidTr="001A694F">
        <w:trPr>
          <w:trHeight w:hRule="exact" w:val="293"/>
        </w:trPr>
        <w:tc>
          <w:tcPr>
            <w:tcW w:w="1133"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right="4"/>
              <w:rPr>
                <w:lang w:val="en-US"/>
              </w:rPr>
            </w:pPr>
            <w:r w:rsidRPr="00AB3400">
              <w:t>0</w:t>
            </w:r>
          </w:p>
        </w:tc>
        <w:tc>
          <w:tcPr>
            <w:tcW w:w="1135"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left="272" w:right="274"/>
              <w:rPr>
                <w:lang w:val="en-US"/>
              </w:rPr>
            </w:pPr>
            <w:r w:rsidRPr="00AB3400">
              <w:t>40%</w:t>
            </w:r>
          </w:p>
        </w:tc>
        <w:tc>
          <w:tcPr>
            <w:tcW w:w="1133"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left="300" w:right="304"/>
              <w:rPr>
                <w:lang w:val="en-US"/>
              </w:rPr>
            </w:pPr>
            <w:r w:rsidRPr="00AB3400">
              <w:t>40%</w:t>
            </w:r>
          </w:p>
        </w:tc>
        <w:tc>
          <w:tcPr>
            <w:tcW w:w="1135"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left="272" w:right="274"/>
              <w:rPr>
                <w:lang w:val="en-US"/>
              </w:rPr>
            </w:pPr>
            <w:r w:rsidRPr="00AB3400">
              <w:t>20%</w:t>
            </w:r>
          </w:p>
        </w:tc>
      </w:tr>
    </w:tbl>
    <w:p w:rsidR="001A694F" w:rsidRPr="00AB3400" w:rsidRDefault="001A694F" w:rsidP="001A694F">
      <w:pPr>
        <w:pStyle w:val="BodyText"/>
        <w:spacing w:before="3"/>
        <w:rPr>
          <w:rFonts w:ascii="Cambria" w:eastAsia="Cambria" w:hAnsi="Cambria" w:cs="Cambria"/>
          <w:sz w:val="22"/>
          <w:lang w:val="en-US"/>
        </w:rPr>
      </w:pPr>
    </w:p>
    <w:p w:rsidR="001A694F" w:rsidRPr="00AB3400" w:rsidRDefault="001A694F" w:rsidP="001A694F">
      <w:pPr>
        <w:pStyle w:val="BodyText"/>
        <w:spacing w:before="66"/>
        <w:ind w:left="1192" w:right="138"/>
        <w:rPr>
          <w:sz w:val="22"/>
        </w:rPr>
      </w:pPr>
      <w:r w:rsidRPr="00AB3400">
        <w:rPr>
          <w:sz w:val="22"/>
        </w:rPr>
        <w:t xml:space="preserve">resulting in no WAM reduction for </w:t>
      </w:r>
      <w:r w:rsidRPr="00AB3400">
        <w:rPr>
          <w:b/>
          <w:sz w:val="22"/>
        </w:rPr>
        <w:t xml:space="preserve">T  </w:t>
      </w:r>
      <w:r w:rsidRPr="00AB3400">
        <w:rPr>
          <w:sz w:val="22"/>
        </w:rPr>
        <w:t xml:space="preserve">and  </w:t>
      </w:r>
      <w:r w:rsidRPr="00AB3400">
        <w:rPr>
          <w:b/>
          <w:sz w:val="22"/>
        </w:rPr>
        <w:t xml:space="preserve">A </w:t>
      </w:r>
      <w:r w:rsidRPr="00AB3400">
        <w:rPr>
          <w:sz w:val="22"/>
        </w:rPr>
        <w:t>activities.</w:t>
      </w:r>
    </w:p>
    <w:p w:rsidR="001A694F" w:rsidRPr="00AB3400" w:rsidRDefault="001A694F" w:rsidP="001A694F">
      <w:pPr>
        <w:pStyle w:val="BodyText"/>
        <w:spacing w:before="11"/>
        <w:rPr>
          <w:sz w:val="22"/>
        </w:rPr>
      </w:pPr>
    </w:p>
    <w:p w:rsidR="001A694F" w:rsidRPr="00AB3400" w:rsidRDefault="001A694F" w:rsidP="001A694F">
      <w:pPr>
        <w:pStyle w:val="BodyText"/>
        <w:ind w:left="1192" w:right="424"/>
        <w:rPr>
          <w:sz w:val="22"/>
        </w:rPr>
      </w:pPr>
      <w:r w:rsidRPr="00AB3400">
        <w:rPr>
          <w:sz w:val="22"/>
        </w:rPr>
        <w:t xml:space="preserve">Whilst if the </w:t>
      </w:r>
      <w:r w:rsidRPr="00AB3400">
        <w:rPr>
          <w:i/>
          <w:sz w:val="22"/>
        </w:rPr>
        <w:t xml:space="preserve">agreed </w:t>
      </w:r>
      <w:r w:rsidRPr="00AB3400">
        <w:rPr>
          <w:b/>
          <w:sz w:val="22"/>
        </w:rPr>
        <w:t xml:space="preserve">R Ext = </w:t>
      </w:r>
      <w:r w:rsidRPr="00AB3400">
        <w:rPr>
          <w:b/>
          <w:i/>
          <w:sz w:val="22"/>
        </w:rPr>
        <w:t>x</w:t>
      </w:r>
      <w:r w:rsidRPr="00AB3400">
        <w:rPr>
          <w:b/>
          <w:sz w:val="22"/>
        </w:rPr>
        <w:t>%</w:t>
      </w:r>
      <w:r w:rsidRPr="00AB3400">
        <w:rPr>
          <w:sz w:val="22"/>
        </w:rPr>
        <w:t>, then the following nominal redistribution of time applies</w:t>
      </w:r>
    </w:p>
    <w:p w:rsidR="001A694F" w:rsidRPr="00AB3400" w:rsidRDefault="001A694F" w:rsidP="001A694F">
      <w:pPr>
        <w:pStyle w:val="BodyText"/>
        <w:spacing w:before="10"/>
        <w:rPr>
          <w:sz w:val="22"/>
        </w:rPr>
      </w:pPr>
    </w:p>
    <w:tbl>
      <w:tblPr>
        <w:tblW w:w="0" w:type="auto"/>
        <w:tblInd w:w="1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5"/>
        <w:gridCol w:w="1644"/>
        <w:gridCol w:w="1644"/>
        <w:gridCol w:w="1645"/>
      </w:tblGrid>
      <w:tr w:rsidR="001A694F" w:rsidRPr="00AB3400" w:rsidTr="001A694F">
        <w:trPr>
          <w:trHeight w:hRule="exact" w:val="290"/>
        </w:trPr>
        <w:tc>
          <w:tcPr>
            <w:tcW w:w="1645"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left="162"/>
              <w:rPr>
                <w:b/>
                <w:lang w:val="en-US"/>
              </w:rPr>
            </w:pPr>
            <w:r w:rsidRPr="00AB3400">
              <w:rPr>
                <w:b/>
              </w:rPr>
              <w:t>R EXT</w:t>
            </w:r>
          </w:p>
        </w:tc>
        <w:tc>
          <w:tcPr>
            <w:tcW w:w="1644"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ind w:left="163"/>
              <w:rPr>
                <w:b/>
                <w:lang w:val="en-US"/>
              </w:rPr>
            </w:pPr>
            <w:r w:rsidRPr="00AB3400">
              <w:rPr>
                <w:b/>
              </w:rPr>
              <w:t>R QR</w:t>
            </w:r>
          </w:p>
        </w:tc>
        <w:tc>
          <w:tcPr>
            <w:tcW w:w="1644"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rPr>
                <w:b/>
                <w:lang w:val="en-US"/>
              </w:rPr>
            </w:pPr>
            <w:r w:rsidRPr="00AB3400">
              <w:rPr>
                <w:b/>
              </w:rPr>
              <w:t>T</w:t>
            </w:r>
          </w:p>
        </w:tc>
        <w:tc>
          <w:tcPr>
            <w:tcW w:w="1645"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rPr>
                <w:b/>
                <w:lang w:val="en-US"/>
              </w:rPr>
            </w:pPr>
            <w:r w:rsidRPr="00AB3400">
              <w:rPr>
                <w:b/>
              </w:rPr>
              <w:t>A</w:t>
            </w:r>
          </w:p>
        </w:tc>
      </w:tr>
      <w:tr w:rsidR="001A694F" w:rsidRPr="00AB3400" w:rsidTr="001A694F">
        <w:trPr>
          <w:trHeight w:hRule="exact" w:val="293"/>
        </w:trPr>
        <w:tc>
          <w:tcPr>
            <w:tcW w:w="1645"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spacing w:before="2"/>
              <w:ind w:left="163"/>
              <w:rPr>
                <w:i/>
                <w:lang w:val="en-US"/>
              </w:rPr>
            </w:pPr>
            <w:r w:rsidRPr="00AB3400">
              <w:rPr>
                <w:i/>
              </w:rPr>
              <w:t>x%</w:t>
            </w:r>
          </w:p>
        </w:tc>
        <w:tc>
          <w:tcPr>
            <w:tcW w:w="1644"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spacing w:before="2"/>
              <w:ind w:left="163"/>
              <w:rPr>
                <w:lang w:val="en-US"/>
              </w:rPr>
            </w:pPr>
            <w:r w:rsidRPr="00AB3400">
              <w:t>(40-0.4*</w:t>
            </w:r>
            <w:r w:rsidRPr="00AB3400">
              <w:rPr>
                <w:i/>
              </w:rPr>
              <w:t>x</w:t>
            </w:r>
            <w:r w:rsidRPr="00AB3400">
              <w:t>)%</w:t>
            </w:r>
          </w:p>
        </w:tc>
        <w:tc>
          <w:tcPr>
            <w:tcW w:w="1644"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spacing w:before="2"/>
              <w:ind w:left="163"/>
              <w:rPr>
                <w:lang w:val="en-US"/>
              </w:rPr>
            </w:pPr>
            <w:r w:rsidRPr="00AB3400">
              <w:t>(40-0.4*</w:t>
            </w:r>
            <w:r w:rsidRPr="00AB3400">
              <w:rPr>
                <w:i/>
              </w:rPr>
              <w:t>x</w:t>
            </w:r>
            <w:r w:rsidRPr="00AB3400">
              <w:t>)%</w:t>
            </w:r>
          </w:p>
        </w:tc>
        <w:tc>
          <w:tcPr>
            <w:tcW w:w="1645" w:type="dxa"/>
            <w:tcBorders>
              <w:top w:val="single" w:sz="4" w:space="0" w:color="000000"/>
              <w:left w:val="single" w:sz="4" w:space="0" w:color="000000"/>
              <w:bottom w:val="single" w:sz="4" w:space="0" w:color="000000"/>
              <w:right w:val="single" w:sz="4" w:space="0" w:color="000000"/>
            </w:tcBorders>
            <w:hideMark/>
          </w:tcPr>
          <w:p w:rsidR="001A694F" w:rsidRPr="00AB3400" w:rsidRDefault="001A694F">
            <w:pPr>
              <w:pStyle w:val="TableParagraph"/>
              <w:spacing w:before="2"/>
              <w:ind w:left="163"/>
              <w:rPr>
                <w:lang w:val="en-US"/>
              </w:rPr>
            </w:pPr>
            <w:r w:rsidRPr="00AB3400">
              <w:t>(20-0.2*</w:t>
            </w:r>
            <w:r w:rsidRPr="00AB3400">
              <w:rPr>
                <w:i/>
              </w:rPr>
              <w:t>x</w:t>
            </w:r>
            <w:r w:rsidRPr="00AB3400">
              <w:t>)%</w:t>
            </w:r>
          </w:p>
        </w:tc>
      </w:tr>
    </w:tbl>
    <w:p w:rsidR="001A694F" w:rsidRPr="00AB3400" w:rsidRDefault="001A694F" w:rsidP="001A694F">
      <w:pPr>
        <w:pStyle w:val="BodyText"/>
        <w:spacing w:before="3"/>
        <w:rPr>
          <w:rFonts w:ascii="Cambria" w:eastAsia="Cambria" w:hAnsi="Cambria" w:cs="Cambria"/>
          <w:sz w:val="22"/>
          <w:lang w:val="en-US"/>
        </w:rPr>
      </w:pPr>
    </w:p>
    <w:p w:rsidR="001A694F" w:rsidRPr="00AB3400" w:rsidRDefault="001A694F" w:rsidP="00D85C77">
      <w:pPr>
        <w:pStyle w:val="BodyText"/>
        <w:spacing w:before="66" w:line="281" w:lineRule="exact"/>
        <w:ind w:left="1192" w:right="138"/>
        <w:rPr>
          <w:sz w:val="22"/>
        </w:rPr>
      </w:pPr>
      <w:r w:rsidRPr="00CF20C0">
        <w:rPr>
          <w:b/>
          <w:sz w:val="22"/>
        </w:rPr>
        <w:lastRenderedPageBreak/>
        <w:t xml:space="preserve">Thus an </w:t>
      </w:r>
      <w:r w:rsidRPr="00CF20C0">
        <w:rPr>
          <w:b/>
          <w:i/>
          <w:sz w:val="22"/>
        </w:rPr>
        <w:t xml:space="preserve">x% </w:t>
      </w:r>
      <w:r w:rsidR="00D85C77" w:rsidRPr="00CF20C0">
        <w:rPr>
          <w:b/>
          <w:sz w:val="22"/>
        </w:rPr>
        <w:t xml:space="preserve">FTE DA funded staff time (as long as it is above the 10% threshold) will </w:t>
      </w:r>
      <w:r w:rsidRPr="00CF20C0">
        <w:rPr>
          <w:b/>
          <w:sz w:val="22"/>
        </w:rPr>
        <w:t xml:space="preserve">result in a direct </w:t>
      </w:r>
      <w:r w:rsidRPr="00CF20C0">
        <w:rPr>
          <w:b/>
          <w:i/>
          <w:sz w:val="22"/>
        </w:rPr>
        <w:t>x%</w:t>
      </w:r>
      <w:r w:rsidR="00D85C77" w:rsidRPr="00CF20C0">
        <w:rPr>
          <w:b/>
          <w:i/>
          <w:sz w:val="22"/>
        </w:rPr>
        <w:t xml:space="preserve"> </w:t>
      </w:r>
      <w:r w:rsidRPr="00CF20C0">
        <w:rPr>
          <w:b/>
          <w:sz w:val="22"/>
        </w:rPr>
        <w:t xml:space="preserve">reduction in WAM </w:t>
      </w:r>
      <w:r w:rsidR="00CF20C0" w:rsidRPr="00CF20C0">
        <w:rPr>
          <w:b/>
          <w:sz w:val="22"/>
        </w:rPr>
        <w:t xml:space="preserve">workload </w:t>
      </w:r>
      <w:r w:rsidRPr="00CF20C0">
        <w:rPr>
          <w:b/>
          <w:sz w:val="22"/>
        </w:rPr>
        <w:t>(across both T</w:t>
      </w:r>
      <w:r w:rsidR="00CF20C0" w:rsidRPr="00CF20C0">
        <w:rPr>
          <w:b/>
          <w:sz w:val="22"/>
        </w:rPr>
        <w:t>eaching and Admin tasks</w:t>
      </w:r>
      <w:r w:rsidRPr="00CF20C0">
        <w:rPr>
          <w:b/>
          <w:sz w:val="22"/>
        </w:rPr>
        <w:t>)</w:t>
      </w:r>
      <w:r w:rsidRPr="00AB3400">
        <w:rPr>
          <w:sz w:val="22"/>
        </w:rPr>
        <w:t>.</w:t>
      </w:r>
      <w:r w:rsidR="00CF20C0">
        <w:rPr>
          <w:sz w:val="22"/>
        </w:rPr>
        <w:t xml:space="preserve"> </w:t>
      </w:r>
    </w:p>
    <w:p w:rsidR="001A694F" w:rsidRPr="00AB3400" w:rsidRDefault="001A694F" w:rsidP="001A694F">
      <w:pPr>
        <w:pStyle w:val="BodyText"/>
        <w:spacing w:before="2"/>
        <w:ind w:left="1192" w:right="489"/>
        <w:rPr>
          <w:sz w:val="22"/>
        </w:rPr>
      </w:pPr>
      <w:r w:rsidRPr="00AB3400">
        <w:rPr>
          <w:sz w:val="22"/>
        </w:rPr>
        <w:t>For example, a</w:t>
      </w:r>
      <w:r w:rsidR="00CF20C0">
        <w:rPr>
          <w:sz w:val="22"/>
        </w:rPr>
        <w:t xml:space="preserve"> </w:t>
      </w:r>
      <w:r w:rsidRPr="00AB3400">
        <w:rPr>
          <w:sz w:val="22"/>
        </w:rPr>
        <w:t xml:space="preserve">60% </w:t>
      </w:r>
      <w:r w:rsidR="00CF20C0">
        <w:rPr>
          <w:sz w:val="22"/>
        </w:rPr>
        <w:t xml:space="preserve">DA funded research time will result in a 60% reduction (the </w:t>
      </w:r>
      <w:r w:rsidRPr="00AB3400">
        <w:rPr>
          <w:sz w:val="22"/>
        </w:rPr>
        <w:t>buy-out</w:t>
      </w:r>
      <w:r w:rsidR="00CF20C0">
        <w:rPr>
          <w:sz w:val="22"/>
        </w:rPr>
        <w:t xml:space="preserve">) in the individual’s WAM workload (which includes teaching and admin tasks). A 30% DA funded research time will imply a 30% reduction in WAM workloads. And so on. The only caveat is DA funded time of less than 10% will result in no reductions in the WAM workload on T&amp;A. The clear implication of this is that </w:t>
      </w:r>
      <w:r w:rsidR="002D4935">
        <w:rPr>
          <w:sz w:val="22"/>
        </w:rPr>
        <w:t xml:space="preserve">such levels of time allocation on funded research are seen as minimal. Moreover, the policy would seek to encourage colleagues going for larger levels of DA funded staff time. </w:t>
      </w:r>
    </w:p>
    <w:p w:rsidR="001A694F" w:rsidRPr="00AB3400" w:rsidRDefault="001A694F" w:rsidP="001A694F">
      <w:pPr>
        <w:pStyle w:val="ListParagraph"/>
        <w:widowControl w:val="0"/>
        <w:numPr>
          <w:ilvl w:val="1"/>
          <w:numId w:val="19"/>
        </w:numPr>
        <w:tabs>
          <w:tab w:val="left" w:pos="1193"/>
        </w:tabs>
        <w:ind w:left="1192" w:right="219"/>
        <w:contextualSpacing w:val="0"/>
        <w:rPr>
          <w:sz w:val="22"/>
        </w:rPr>
      </w:pPr>
      <w:r w:rsidRPr="00AB3400">
        <w:rPr>
          <w:sz w:val="22"/>
        </w:rPr>
        <w:t>It will be possible for academic colleagues to aggregate time commitments across several grants, providing the time commitments fall within the same academic</w:t>
      </w:r>
      <w:r w:rsidRPr="00AB3400">
        <w:rPr>
          <w:spacing w:val="-29"/>
          <w:sz w:val="22"/>
        </w:rPr>
        <w:t xml:space="preserve"> </w:t>
      </w:r>
      <w:r w:rsidRPr="00AB3400">
        <w:rPr>
          <w:sz w:val="22"/>
        </w:rPr>
        <w:t>year.</w:t>
      </w:r>
    </w:p>
    <w:p w:rsidR="001A694F" w:rsidRPr="00AB3400" w:rsidRDefault="001A694F" w:rsidP="001A694F">
      <w:pPr>
        <w:pStyle w:val="BodyText"/>
        <w:spacing w:before="1"/>
        <w:rPr>
          <w:sz w:val="22"/>
        </w:rPr>
      </w:pPr>
    </w:p>
    <w:p w:rsidR="001A694F" w:rsidRDefault="002D4935" w:rsidP="001A694F">
      <w:pPr>
        <w:pStyle w:val="ListParagraph"/>
        <w:widowControl w:val="0"/>
        <w:numPr>
          <w:ilvl w:val="0"/>
          <w:numId w:val="19"/>
        </w:numPr>
        <w:tabs>
          <w:tab w:val="left" w:pos="473"/>
        </w:tabs>
        <w:ind w:left="472" w:right="116" w:hanging="360"/>
        <w:contextualSpacing w:val="0"/>
        <w:rPr>
          <w:sz w:val="22"/>
        </w:rPr>
      </w:pPr>
      <w:r>
        <w:rPr>
          <w:b/>
          <w:i/>
          <w:sz w:val="22"/>
        </w:rPr>
        <w:t xml:space="preserve">There is a clear expectation that research buy outs for individuals should not result in higher T&amp;A workloads for other colleagues in their disciplines. Hence, resources will be provided to DAs to ensure that teaching and admin needs arising from research buy-outs are met. </w:t>
      </w:r>
      <w:r w:rsidRPr="002D4935">
        <w:rPr>
          <w:sz w:val="22"/>
        </w:rPr>
        <w:t xml:space="preserve">This will be done in the following manner: </w:t>
      </w:r>
      <w:r w:rsidR="001A694F" w:rsidRPr="002D4935">
        <w:rPr>
          <w:sz w:val="22"/>
        </w:rPr>
        <w:t>Provided</w:t>
      </w:r>
      <w:r w:rsidR="001A694F" w:rsidRPr="00AB3400">
        <w:rPr>
          <w:b/>
          <w:i/>
          <w:sz w:val="22"/>
        </w:rPr>
        <w:t xml:space="preserve"> </w:t>
      </w:r>
      <w:r w:rsidR="001A694F" w:rsidRPr="00AB3400">
        <w:rPr>
          <w:sz w:val="22"/>
        </w:rPr>
        <w:t xml:space="preserve">the fEC of the directly incurred costs of undertaking the research project are covered, </w:t>
      </w:r>
      <w:r w:rsidR="001A694F" w:rsidRPr="00AB3400">
        <w:rPr>
          <w:b/>
          <w:i/>
          <w:sz w:val="22"/>
        </w:rPr>
        <w:t xml:space="preserve">a proportion </w:t>
      </w:r>
      <w:r w:rsidR="001A694F" w:rsidRPr="00AB3400">
        <w:rPr>
          <w:sz w:val="22"/>
        </w:rPr>
        <w:t xml:space="preserve">of the actual funds being generated from the </w:t>
      </w:r>
      <w:r w:rsidR="001A694F" w:rsidRPr="00AB3400">
        <w:rPr>
          <w:i/>
          <w:sz w:val="22"/>
        </w:rPr>
        <w:t xml:space="preserve">recovery of directly allocated academic time </w:t>
      </w:r>
      <w:r w:rsidR="001A694F" w:rsidRPr="00AB3400">
        <w:rPr>
          <w:sz w:val="22"/>
        </w:rPr>
        <w:t>element in research grants will be amalgamated within a nominal Discipline Area Account (i.e., excluding indirect and estates costs and taking account of the (usual) 8</w:t>
      </w:r>
      <w:r w:rsidR="00CF20C0">
        <w:rPr>
          <w:sz w:val="22"/>
        </w:rPr>
        <w:t>0% differential under fEC). HoD</w:t>
      </w:r>
      <w:r w:rsidR="001A694F" w:rsidRPr="00AB3400">
        <w:rPr>
          <w:sz w:val="22"/>
        </w:rPr>
        <w:t>s will discuss with HoS how best to deploy this account to ensure that appropriate cover is provided across the School, taking due account of the particular needs of individual DAs and the strategic need of the School to maximise its research</w:t>
      </w:r>
      <w:r w:rsidR="001A694F" w:rsidRPr="00AB3400">
        <w:rPr>
          <w:spacing w:val="-23"/>
          <w:sz w:val="22"/>
        </w:rPr>
        <w:t xml:space="preserve"> </w:t>
      </w:r>
      <w:r w:rsidR="001A694F" w:rsidRPr="00AB3400">
        <w:rPr>
          <w:sz w:val="22"/>
        </w:rPr>
        <w:t>contribution.</w:t>
      </w:r>
    </w:p>
    <w:p w:rsidR="002D4935" w:rsidRDefault="002D4935" w:rsidP="002D4935">
      <w:pPr>
        <w:pStyle w:val="ListParagraph"/>
        <w:widowControl w:val="0"/>
        <w:tabs>
          <w:tab w:val="left" w:pos="473"/>
        </w:tabs>
        <w:ind w:left="472" w:right="116"/>
        <w:contextualSpacing w:val="0"/>
        <w:rPr>
          <w:sz w:val="22"/>
        </w:rPr>
      </w:pPr>
    </w:p>
    <w:p w:rsidR="002D4935" w:rsidRPr="00AB3400" w:rsidRDefault="002D4935" w:rsidP="001A694F">
      <w:pPr>
        <w:pStyle w:val="ListParagraph"/>
        <w:widowControl w:val="0"/>
        <w:numPr>
          <w:ilvl w:val="0"/>
          <w:numId w:val="19"/>
        </w:numPr>
        <w:tabs>
          <w:tab w:val="left" w:pos="473"/>
        </w:tabs>
        <w:ind w:left="472" w:right="116" w:hanging="360"/>
        <w:contextualSpacing w:val="0"/>
        <w:rPr>
          <w:sz w:val="22"/>
        </w:rPr>
      </w:pPr>
      <w:r>
        <w:rPr>
          <w:sz w:val="22"/>
        </w:rPr>
        <w:t xml:space="preserve">Each year the Research Hub and the School Accountant will provide HoS, SRD, and HoDs with data on discipline level DA funded staff time allocations and associated agreed buy outs for the forthcoming academic year. This will be done in March-April of each year to ensure that DAs have sufficient time to arrange the recruitment of associated teaching cover for the next academic year. </w:t>
      </w:r>
    </w:p>
    <w:p w:rsidR="001A694F" w:rsidRPr="00AB3400" w:rsidRDefault="001A694F" w:rsidP="001A694F">
      <w:pPr>
        <w:pStyle w:val="BodyText"/>
        <w:spacing w:before="11"/>
        <w:rPr>
          <w:sz w:val="22"/>
        </w:rPr>
      </w:pPr>
    </w:p>
    <w:p w:rsidR="001A694F" w:rsidRPr="00AB3400" w:rsidRDefault="001A694F" w:rsidP="001A694F">
      <w:pPr>
        <w:pStyle w:val="ListParagraph"/>
        <w:widowControl w:val="0"/>
        <w:numPr>
          <w:ilvl w:val="0"/>
          <w:numId w:val="19"/>
        </w:numPr>
        <w:tabs>
          <w:tab w:val="left" w:pos="473"/>
        </w:tabs>
        <w:ind w:left="472" w:right="130" w:hanging="360"/>
        <w:contextualSpacing w:val="0"/>
        <w:rPr>
          <w:sz w:val="22"/>
        </w:rPr>
      </w:pPr>
      <w:r w:rsidRPr="00AB3400">
        <w:rPr>
          <w:sz w:val="22"/>
        </w:rPr>
        <w:t xml:space="preserve">In particular, where teaching “replacement” lectureships are agreed, under </w:t>
      </w:r>
      <w:r w:rsidR="00CD5A2D">
        <w:rPr>
          <w:sz w:val="22"/>
        </w:rPr>
        <w:t xml:space="preserve">point </w:t>
      </w:r>
      <w:r w:rsidRPr="00AB3400">
        <w:rPr>
          <w:sz w:val="22"/>
        </w:rPr>
        <w:t>3</w:t>
      </w:r>
      <w:r w:rsidR="00CD5A2D">
        <w:rPr>
          <w:sz w:val="22"/>
        </w:rPr>
        <w:t xml:space="preserve"> above</w:t>
      </w:r>
      <w:r w:rsidRPr="00AB3400">
        <w:rPr>
          <w:sz w:val="22"/>
        </w:rPr>
        <w:t>, these will be Teaching &amp; Scholarship contracts so as to maximise the teaching contribution gained and to off-set academic leadership roles that may have to be re-assigned within the</w:t>
      </w:r>
      <w:r w:rsidRPr="00AB3400">
        <w:rPr>
          <w:spacing w:val="-28"/>
          <w:sz w:val="22"/>
        </w:rPr>
        <w:t xml:space="preserve"> </w:t>
      </w:r>
      <w:r w:rsidRPr="00AB3400">
        <w:rPr>
          <w:sz w:val="22"/>
        </w:rPr>
        <w:t>DA.</w:t>
      </w:r>
    </w:p>
    <w:p w:rsidR="00AE4CCF" w:rsidRPr="00AB3400" w:rsidRDefault="00AE4CCF" w:rsidP="00AE4CCF">
      <w:pPr>
        <w:pStyle w:val="ListParagraph"/>
        <w:rPr>
          <w:sz w:val="22"/>
        </w:rPr>
      </w:pPr>
    </w:p>
    <w:p w:rsidR="00AE4CCF" w:rsidRPr="00AB3400" w:rsidRDefault="001A694F" w:rsidP="00AE4CCF">
      <w:pPr>
        <w:pStyle w:val="ListParagraph"/>
        <w:widowControl w:val="0"/>
        <w:numPr>
          <w:ilvl w:val="0"/>
          <w:numId w:val="19"/>
        </w:numPr>
        <w:tabs>
          <w:tab w:val="left" w:pos="473"/>
        </w:tabs>
        <w:ind w:left="472" w:right="130" w:hanging="360"/>
        <w:contextualSpacing w:val="0"/>
        <w:rPr>
          <w:sz w:val="22"/>
        </w:rPr>
      </w:pPr>
      <w:r w:rsidRPr="00AB3400">
        <w:rPr>
          <w:sz w:val="22"/>
        </w:rPr>
        <w:t>Normally, on average (over a number of years), academic colleagues should be expected to continue to offer service in other areas relevant to the School’s WAM (which could be explicitly accounted for in the WAM to a normal maximum of about 20%), including, inter alia: certain administrative roles, PhD supervision, MA Master classes, UG teaching. This should be agreed with the line manager (e.g., in the annual</w:t>
      </w:r>
      <w:r w:rsidRPr="00AB3400">
        <w:rPr>
          <w:spacing w:val="-23"/>
          <w:sz w:val="22"/>
        </w:rPr>
        <w:t xml:space="preserve"> </w:t>
      </w:r>
      <w:r w:rsidRPr="00AB3400">
        <w:rPr>
          <w:sz w:val="22"/>
        </w:rPr>
        <w:t>PDR).</w:t>
      </w:r>
      <w:r w:rsidR="00AE4CCF" w:rsidRPr="00AB3400">
        <w:rPr>
          <w:sz w:val="22"/>
        </w:rPr>
        <w:t xml:space="preserve"> </w:t>
      </w:r>
    </w:p>
    <w:p w:rsidR="001A694F" w:rsidRDefault="001A694F" w:rsidP="00AE4CCF">
      <w:pPr>
        <w:widowControl w:val="0"/>
        <w:tabs>
          <w:tab w:val="left" w:pos="833"/>
        </w:tabs>
        <w:spacing w:before="49"/>
        <w:ind w:right="103"/>
        <w:rPr>
          <w:sz w:val="22"/>
        </w:rPr>
      </w:pPr>
    </w:p>
    <w:p w:rsidR="00625C26" w:rsidRDefault="00625C26" w:rsidP="00AE4CCF">
      <w:pPr>
        <w:widowControl w:val="0"/>
        <w:tabs>
          <w:tab w:val="left" w:pos="833"/>
        </w:tabs>
        <w:spacing w:before="49"/>
        <w:ind w:right="103"/>
        <w:rPr>
          <w:sz w:val="22"/>
        </w:rPr>
      </w:pPr>
    </w:p>
    <w:p w:rsidR="00625C26" w:rsidRDefault="00924C43" w:rsidP="00AE4CCF">
      <w:pPr>
        <w:widowControl w:val="0"/>
        <w:tabs>
          <w:tab w:val="left" w:pos="833"/>
        </w:tabs>
        <w:spacing w:before="49"/>
        <w:ind w:right="103"/>
        <w:rPr>
          <w:sz w:val="22"/>
        </w:rPr>
      </w:pPr>
      <w:r>
        <w:rPr>
          <w:sz w:val="22"/>
        </w:rPr>
        <w:t>SEED SPRC</w:t>
      </w:r>
    </w:p>
    <w:p w:rsidR="00625C26" w:rsidRPr="00AB3400" w:rsidRDefault="00924C43" w:rsidP="001A694F">
      <w:pPr>
        <w:pStyle w:val="BodyText"/>
        <w:rPr>
          <w:sz w:val="22"/>
        </w:rPr>
      </w:pPr>
      <w:r>
        <w:rPr>
          <w:sz w:val="22"/>
        </w:rPr>
        <w:t>5 October 2016</w:t>
      </w:r>
    </w:p>
    <w:sectPr w:rsidR="00625C26" w:rsidRPr="00AB3400" w:rsidSect="006E3E6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15" w:rsidRDefault="00835815" w:rsidP="00843834">
      <w:r>
        <w:separator/>
      </w:r>
    </w:p>
  </w:endnote>
  <w:endnote w:type="continuationSeparator" w:id="0">
    <w:p w:rsidR="00835815" w:rsidRDefault="00835815" w:rsidP="008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i w:val="0"/>
        <w:sz w:val="22"/>
        <w:szCs w:val="22"/>
      </w:rPr>
      <w:id w:val="25036454"/>
      <w:docPartObj>
        <w:docPartGallery w:val="Page Numbers (Bottom of Page)"/>
        <w:docPartUnique/>
      </w:docPartObj>
    </w:sdtPr>
    <w:sdtEndPr/>
    <w:sdtContent>
      <w:sdt>
        <w:sdtPr>
          <w:rPr>
            <w:rFonts w:asciiTheme="minorHAnsi" w:hAnsiTheme="minorHAnsi"/>
            <w:i w:val="0"/>
            <w:sz w:val="22"/>
            <w:szCs w:val="22"/>
          </w:rPr>
          <w:id w:val="565050477"/>
          <w:docPartObj>
            <w:docPartGallery w:val="Page Numbers (Top of Page)"/>
            <w:docPartUnique/>
          </w:docPartObj>
        </w:sdtPr>
        <w:sdtEndPr/>
        <w:sdtContent>
          <w:p w:rsidR="00A40214" w:rsidRPr="00F1158A" w:rsidRDefault="00A40214">
            <w:pPr>
              <w:pStyle w:val="Footer"/>
              <w:jc w:val="center"/>
              <w:rPr>
                <w:rFonts w:asciiTheme="minorHAnsi" w:hAnsiTheme="minorHAnsi"/>
                <w:i w:val="0"/>
                <w:sz w:val="22"/>
                <w:szCs w:val="22"/>
              </w:rPr>
            </w:pPr>
            <w:r w:rsidRPr="00F1158A">
              <w:rPr>
                <w:rFonts w:asciiTheme="minorHAnsi" w:hAnsiTheme="minorHAnsi"/>
                <w:i w:val="0"/>
                <w:sz w:val="22"/>
                <w:szCs w:val="22"/>
              </w:rPr>
              <w:t xml:space="preserve">Page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PAGE </w:instrText>
            </w:r>
            <w:r w:rsidRPr="00F1158A">
              <w:rPr>
                <w:rFonts w:asciiTheme="minorHAnsi" w:hAnsiTheme="minorHAnsi"/>
                <w:b/>
                <w:i w:val="0"/>
                <w:sz w:val="22"/>
                <w:szCs w:val="22"/>
              </w:rPr>
              <w:fldChar w:fldCharType="separate"/>
            </w:r>
            <w:r w:rsidR="00A0259E">
              <w:rPr>
                <w:rFonts w:asciiTheme="minorHAnsi" w:hAnsiTheme="minorHAnsi"/>
                <w:b/>
                <w:i w:val="0"/>
                <w:noProof/>
                <w:sz w:val="22"/>
                <w:szCs w:val="22"/>
              </w:rPr>
              <w:t>2</w:t>
            </w:r>
            <w:r w:rsidRPr="00F1158A">
              <w:rPr>
                <w:rFonts w:asciiTheme="minorHAnsi" w:hAnsiTheme="minorHAnsi"/>
                <w:b/>
                <w:i w:val="0"/>
                <w:sz w:val="22"/>
                <w:szCs w:val="22"/>
              </w:rPr>
              <w:fldChar w:fldCharType="end"/>
            </w:r>
            <w:r w:rsidRPr="00F1158A">
              <w:rPr>
                <w:rFonts w:asciiTheme="minorHAnsi" w:hAnsiTheme="minorHAnsi"/>
                <w:i w:val="0"/>
                <w:sz w:val="22"/>
                <w:szCs w:val="22"/>
              </w:rPr>
              <w:t xml:space="preserve"> of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NUMPAGES  </w:instrText>
            </w:r>
            <w:r w:rsidRPr="00F1158A">
              <w:rPr>
                <w:rFonts w:asciiTheme="minorHAnsi" w:hAnsiTheme="minorHAnsi"/>
                <w:b/>
                <w:i w:val="0"/>
                <w:sz w:val="22"/>
                <w:szCs w:val="22"/>
              </w:rPr>
              <w:fldChar w:fldCharType="separate"/>
            </w:r>
            <w:r w:rsidR="00A0259E">
              <w:rPr>
                <w:rFonts w:asciiTheme="minorHAnsi" w:hAnsiTheme="minorHAnsi"/>
                <w:b/>
                <w:i w:val="0"/>
                <w:noProof/>
                <w:sz w:val="22"/>
                <w:szCs w:val="22"/>
              </w:rPr>
              <w:t>4</w:t>
            </w:r>
            <w:r w:rsidRPr="00F1158A">
              <w:rPr>
                <w:rFonts w:asciiTheme="minorHAnsi" w:hAnsiTheme="minorHAnsi"/>
                <w:b/>
                <w:i w:val="0"/>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15" w:rsidRDefault="00835815" w:rsidP="00843834">
      <w:r>
        <w:separator/>
      </w:r>
    </w:p>
  </w:footnote>
  <w:footnote w:type="continuationSeparator" w:id="0">
    <w:p w:rsidR="00835815" w:rsidRDefault="00835815" w:rsidP="00843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DB2"/>
    <w:multiLevelType w:val="hybridMultilevel"/>
    <w:tmpl w:val="6614A2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071A85"/>
    <w:multiLevelType w:val="hybridMultilevel"/>
    <w:tmpl w:val="1C0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96369E"/>
    <w:multiLevelType w:val="hybridMultilevel"/>
    <w:tmpl w:val="0D305DE4"/>
    <w:lvl w:ilvl="0" w:tplc="D5DABF5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460D68"/>
    <w:multiLevelType w:val="hybridMultilevel"/>
    <w:tmpl w:val="25B87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9B6057D"/>
    <w:multiLevelType w:val="hybridMultilevel"/>
    <w:tmpl w:val="8F80BBD2"/>
    <w:lvl w:ilvl="0" w:tplc="09427B56">
      <w:start w:val="1"/>
      <w:numFmt w:val="decimal"/>
      <w:lvlText w:val="%1."/>
      <w:lvlJc w:val="left"/>
      <w:pPr>
        <w:ind w:left="872" w:hanging="361"/>
      </w:pPr>
      <w:rPr>
        <w:rFonts w:ascii="Cambria" w:eastAsia="Cambria" w:hAnsi="Cambria" w:cs="Cambria" w:hint="default"/>
        <w:spacing w:val="-3"/>
        <w:w w:val="100"/>
        <w:sz w:val="24"/>
        <w:szCs w:val="24"/>
      </w:rPr>
    </w:lvl>
    <w:lvl w:ilvl="1" w:tplc="17BAB5DE">
      <w:start w:val="1"/>
      <w:numFmt w:val="lowerLetter"/>
      <w:lvlText w:val="%2."/>
      <w:lvlJc w:val="left"/>
      <w:pPr>
        <w:ind w:left="1592" w:hanging="360"/>
      </w:pPr>
      <w:rPr>
        <w:rFonts w:ascii="Cambria" w:eastAsia="Cambria" w:hAnsi="Cambria" w:cs="Cambria" w:hint="default"/>
        <w:spacing w:val="-19"/>
        <w:w w:val="99"/>
        <w:sz w:val="24"/>
        <w:szCs w:val="24"/>
      </w:rPr>
    </w:lvl>
    <w:lvl w:ilvl="2" w:tplc="7C6812CA">
      <w:start w:val="1"/>
      <w:numFmt w:val="bullet"/>
      <w:lvlText w:val="•"/>
      <w:lvlJc w:val="left"/>
      <w:pPr>
        <w:ind w:left="1600" w:hanging="360"/>
      </w:pPr>
    </w:lvl>
    <w:lvl w:ilvl="3" w:tplc="1E74A828">
      <w:start w:val="1"/>
      <w:numFmt w:val="bullet"/>
      <w:lvlText w:val="•"/>
      <w:lvlJc w:val="left"/>
      <w:pPr>
        <w:ind w:left="2645" w:hanging="360"/>
      </w:pPr>
    </w:lvl>
    <w:lvl w:ilvl="4" w:tplc="B0C4E7EA">
      <w:start w:val="1"/>
      <w:numFmt w:val="bullet"/>
      <w:lvlText w:val="•"/>
      <w:lvlJc w:val="left"/>
      <w:pPr>
        <w:ind w:left="3691" w:hanging="360"/>
      </w:pPr>
    </w:lvl>
    <w:lvl w:ilvl="5" w:tplc="999C66F8">
      <w:start w:val="1"/>
      <w:numFmt w:val="bullet"/>
      <w:lvlText w:val="•"/>
      <w:lvlJc w:val="left"/>
      <w:pPr>
        <w:ind w:left="4737" w:hanging="360"/>
      </w:pPr>
    </w:lvl>
    <w:lvl w:ilvl="6" w:tplc="B4D4DE42">
      <w:start w:val="1"/>
      <w:numFmt w:val="bullet"/>
      <w:lvlText w:val="•"/>
      <w:lvlJc w:val="left"/>
      <w:pPr>
        <w:ind w:left="5783" w:hanging="360"/>
      </w:pPr>
    </w:lvl>
    <w:lvl w:ilvl="7" w:tplc="189C9D4A">
      <w:start w:val="1"/>
      <w:numFmt w:val="bullet"/>
      <w:lvlText w:val="•"/>
      <w:lvlJc w:val="left"/>
      <w:pPr>
        <w:ind w:left="6829" w:hanging="360"/>
      </w:pPr>
    </w:lvl>
    <w:lvl w:ilvl="8" w:tplc="8EF4AF76">
      <w:start w:val="1"/>
      <w:numFmt w:val="bullet"/>
      <w:lvlText w:val="•"/>
      <w:lvlJc w:val="left"/>
      <w:pPr>
        <w:ind w:left="7874" w:hanging="360"/>
      </w:pPr>
    </w:lvl>
  </w:abstractNum>
  <w:abstractNum w:abstractNumId="5">
    <w:nsid w:val="1A9912CE"/>
    <w:multiLevelType w:val="hybridMultilevel"/>
    <w:tmpl w:val="4DD4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833C29"/>
    <w:multiLevelType w:val="hybridMultilevel"/>
    <w:tmpl w:val="705630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07C2758"/>
    <w:multiLevelType w:val="hybridMultilevel"/>
    <w:tmpl w:val="1144CF26"/>
    <w:lvl w:ilvl="0" w:tplc="B42CA102">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B65786"/>
    <w:multiLevelType w:val="hybridMultilevel"/>
    <w:tmpl w:val="F7285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4B4970"/>
    <w:multiLevelType w:val="hybridMultilevel"/>
    <w:tmpl w:val="9000C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432329"/>
    <w:multiLevelType w:val="hybridMultilevel"/>
    <w:tmpl w:val="3522AE48"/>
    <w:lvl w:ilvl="0" w:tplc="08090001">
      <w:start w:val="1"/>
      <w:numFmt w:val="bullet"/>
      <w:lvlText w:val=""/>
      <w:lvlJc w:val="left"/>
      <w:pPr>
        <w:ind w:left="720" w:hanging="360"/>
      </w:pPr>
      <w:rPr>
        <w:rFonts w:ascii="Symbol" w:hAnsi="Symbo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D47BA2"/>
    <w:multiLevelType w:val="hybridMultilevel"/>
    <w:tmpl w:val="7AC07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6F0F2B"/>
    <w:multiLevelType w:val="hybridMultilevel"/>
    <w:tmpl w:val="2EDAAB1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581D262A"/>
    <w:multiLevelType w:val="hybridMultilevel"/>
    <w:tmpl w:val="BA76CCF4"/>
    <w:lvl w:ilvl="0" w:tplc="B42CA10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631DFF"/>
    <w:multiLevelType w:val="hybridMultilevel"/>
    <w:tmpl w:val="D1DC9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5455D7D"/>
    <w:multiLevelType w:val="hybridMultilevel"/>
    <w:tmpl w:val="011A9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6E53109"/>
    <w:multiLevelType w:val="hybridMultilevel"/>
    <w:tmpl w:val="E272E798"/>
    <w:lvl w:ilvl="0" w:tplc="0809000F">
      <w:start w:val="1"/>
      <w:numFmt w:val="decimal"/>
      <w:lvlText w:val="%1."/>
      <w:lvlJc w:val="left"/>
      <w:pPr>
        <w:ind w:left="1080" w:hanging="360"/>
      </w:pPr>
    </w:lvl>
    <w:lvl w:ilvl="1" w:tplc="2DF44428">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D4E268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773F07C7"/>
    <w:multiLevelType w:val="hybridMultilevel"/>
    <w:tmpl w:val="FB44FB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7C9A7FB7"/>
    <w:multiLevelType w:val="hybridMultilevel"/>
    <w:tmpl w:val="ACD87E2E"/>
    <w:lvl w:ilvl="0" w:tplc="2318CB70">
      <w:start w:val="1"/>
      <w:numFmt w:val="bullet"/>
      <w:lvlText w:val=""/>
      <w:lvlJc w:val="left"/>
      <w:pPr>
        <w:ind w:left="1592" w:hanging="360"/>
      </w:pPr>
      <w:rPr>
        <w:rFonts w:ascii="Symbol" w:eastAsia="Symbol" w:hAnsi="Symbol" w:cs="Symbol" w:hint="default"/>
        <w:w w:val="100"/>
        <w:sz w:val="24"/>
        <w:szCs w:val="24"/>
      </w:rPr>
    </w:lvl>
    <w:lvl w:ilvl="1" w:tplc="FD44A378">
      <w:start w:val="1"/>
      <w:numFmt w:val="bullet"/>
      <w:lvlText w:val="•"/>
      <w:lvlJc w:val="left"/>
      <w:pPr>
        <w:ind w:left="2482" w:hanging="360"/>
      </w:pPr>
    </w:lvl>
    <w:lvl w:ilvl="2" w:tplc="AD425D7A">
      <w:start w:val="1"/>
      <w:numFmt w:val="bullet"/>
      <w:lvlText w:val="•"/>
      <w:lvlJc w:val="left"/>
      <w:pPr>
        <w:ind w:left="3365" w:hanging="360"/>
      </w:pPr>
    </w:lvl>
    <w:lvl w:ilvl="3" w:tplc="64EAD432">
      <w:start w:val="1"/>
      <w:numFmt w:val="bullet"/>
      <w:lvlText w:val="•"/>
      <w:lvlJc w:val="left"/>
      <w:pPr>
        <w:ind w:left="4247" w:hanging="360"/>
      </w:pPr>
    </w:lvl>
    <w:lvl w:ilvl="4" w:tplc="00DE7B46">
      <w:start w:val="1"/>
      <w:numFmt w:val="bullet"/>
      <w:lvlText w:val="•"/>
      <w:lvlJc w:val="left"/>
      <w:pPr>
        <w:ind w:left="5130" w:hanging="360"/>
      </w:pPr>
    </w:lvl>
    <w:lvl w:ilvl="5" w:tplc="A99C4846">
      <w:start w:val="1"/>
      <w:numFmt w:val="bullet"/>
      <w:lvlText w:val="•"/>
      <w:lvlJc w:val="left"/>
      <w:pPr>
        <w:ind w:left="6013" w:hanging="360"/>
      </w:pPr>
    </w:lvl>
    <w:lvl w:ilvl="6" w:tplc="08202FCE">
      <w:start w:val="1"/>
      <w:numFmt w:val="bullet"/>
      <w:lvlText w:val="•"/>
      <w:lvlJc w:val="left"/>
      <w:pPr>
        <w:ind w:left="6895" w:hanging="360"/>
      </w:pPr>
    </w:lvl>
    <w:lvl w:ilvl="7" w:tplc="6F4ADFA2">
      <w:start w:val="1"/>
      <w:numFmt w:val="bullet"/>
      <w:lvlText w:val="•"/>
      <w:lvlJc w:val="left"/>
      <w:pPr>
        <w:ind w:left="7778" w:hanging="360"/>
      </w:pPr>
    </w:lvl>
    <w:lvl w:ilvl="8" w:tplc="E2F8E98C">
      <w:start w:val="1"/>
      <w:numFmt w:val="bullet"/>
      <w:lvlText w:val="•"/>
      <w:lvlJc w:val="left"/>
      <w:pPr>
        <w:ind w:left="8661" w:hanging="360"/>
      </w:pPr>
    </w:lvl>
  </w:abstractNum>
  <w:num w:numId="1">
    <w:abstractNumId w:val="17"/>
  </w:num>
  <w:num w:numId="2">
    <w:abstractNumId w:val="6"/>
  </w:num>
  <w:num w:numId="3">
    <w:abstractNumId w:val="16"/>
  </w:num>
  <w:num w:numId="4">
    <w:abstractNumId w:val="3"/>
  </w:num>
  <w:num w:numId="5">
    <w:abstractNumId w:val="7"/>
  </w:num>
  <w:num w:numId="6">
    <w:abstractNumId w:val="13"/>
  </w:num>
  <w:num w:numId="7">
    <w:abstractNumId w:val="9"/>
  </w:num>
  <w:num w:numId="8">
    <w:abstractNumId w:val="8"/>
  </w:num>
  <w:num w:numId="9">
    <w:abstractNumId w:val="18"/>
  </w:num>
  <w:num w:numId="10">
    <w:abstractNumId w:val="11"/>
  </w:num>
  <w:num w:numId="11">
    <w:abstractNumId w:val="12"/>
  </w:num>
  <w:num w:numId="12">
    <w:abstractNumId w:val="2"/>
  </w:num>
  <w:num w:numId="13">
    <w:abstractNumId w:val="5"/>
  </w:num>
  <w:num w:numId="14">
    <w:abstractNumId w:val="10"/>
  </w:num>
  <w:num w:numId="15">
    <w:abstractNumId w:val="0"/>
  </w:num>
  <w:num w:numId="16">
    <w:abstractNumId w:val="1"/>
  </w:num>
  <w:num w:numId="17">
    <w:abstractNumId w:val="15"/>
  </w:num>
  <w:num w:numId="18">
    <w:abstractNumId w:val="14"/>
  </w:num>
  <w:num w:numId="1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MR - CV &amp;amp; DO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909ttp6fz0smertdlp9xrq2z2x0r5w9ffr&quot;&gt;ma-haniff&lt;record-ids&gt;&lt;item&gt;684&lt;/item&gt;&lt;item&gt;685&lt;/item&gt;&lt;item&gt;686&lt;/item&gt;&lt;item&gt;687&lt;/item&gt;&lt;/record-ids&gt;&lt;/item&gt;&lt;item db-id=&quot;pwv5fvzsid9vpqe2szop2s9vrazvpeaev2dd&quot;&gt;Emotions&lt;record-ids&gt;&lt;item&gt;1230&lt;/item&gt;&lt;item&gt;1231&lt;/item&gt;&lt;/record-ids&gt;&lt;/item&gt;&lt;/Libraries&gt;"/>
  </w:docVars>
  <w:rsids>
    <w:rsidRoot w:val="006C2394"/>
    <w:rsid w:val="000000CD"/>
    <w:rsid w:val="00002D94"/>
    <w:rsid w:val="00003D8B"/>
    <w:rsid w:val="000110CE"/>
    <w:rsid w:val="00015EBE"/>
    <w:rsid w:val="00017741"/>
    <w:rsid w:val="00020324"/>
    <w:rsid w:val="00020DE2"/>
    <w:rsid w:val="00022071"/>
    <w:rsid w:val="00023B29"/>
    <w:rsid w:val="000242F0"/>
    <w:rsid w:val="000247AD"/>
    <w:rsid w:val="000255DA"/>
    <w:rsid w:val="00030D4A"/>
    <w:rsid w:val="00030E99"/>
    <w:rsid w:val="000317D7"/>
    <w:rsid w:val="00037837"/>
    <w:rsid w:val="00040171"/>
    <w:rsid w:val="000459C9"/>
    <w:rsid w:val="00047ED6"/>
    <w:rsid w:val="00051A60"/>
    <w:rsid w:val="0005426C"/>
    <w:rsid w:val="00056BDB"/>
    <w:rsid w:val="00063F96"/>
    <w:rsid w:val="00065A4E"/>
    <w:rsid w:val="00074E87"/>
    <w:rsid w:val="00076327"/>
    <w:rsid w:val="000809D0"/>
    <w:rsid w:val="00084256"/>
    <w:rsid w:val="00097171"/>
    <w:rsid w:val="000A0709"/>
    <w:rsid w:val="000A0E3B"/>
    <w:rsid w:val="000A2302"/>
    <w:rsid w:val="000A253F"/>
    <w:rsid w:val="000B36E6"/>
    <w:rsid w:val="000C276E"/>
    <w:rsid w:val="000C4E3C"/>
    <w:rsid w:val="000C6529"/>
    <w:rsid w:val="000C794B"/>
    <w:rsid w:val="000D0042"/>
    <w:rsid w:val="000D28EE"/>
    <w:rsid w:val="000D52D6"/>
    <w:rsid w:val="000E6518"/>
    <w:rsid w:val="000F12F1"/>
    <w:rsid w:val="000F7FA6"/>
    <w:rsid w:val="00104306"/>
    <w:rsid w:val="00105E11"/>
    <w:rsid w:val="00107517"/>
    <w:rsid w:val="00107FFB"/>
    <w:rsid w:val="001168F8"/>
    <w:rsid w:val="00122229"/>
    <w:rsid w:val="001249EF"/>
    <w:rsid w:val="00124C1C"/>
    <w:rsid w:val="00126F44"/>
    <w:rsid w:val="00133CFD"/>
    <w:rsid w:val="0013505C"/>
    <w:rsid w:val="001436F7"/>
    <w:rsid w:val="00146154"/>
    <w:rsid w:val="0016244E"/>
    <w:rsid w:val="00162854"/>
    <w:rsid w:val="001644F3"/>
    <w:rsid w:val="001664E4"/>
    <w:rsid w:val="00167A70"/>
    <w:rsid w:val="00170F0F"/>
    <w:rsid w:val="00172FB9"/>
    <w:rsid w:val="001740E0"/>
    <w:rsid w:val="001818BF"/>
    <w:rsid w:val="0018254D"/>
    <w:rsid w:val="001972CF"/>
    <w:rsid w:val="001A1DD9"/>
    <w:rsid w:val="001A34A7"/>
    <w:rsid w:val="001A694F"/>
    <w:rsid w:val="001C0B1D"/>
    <w:rsid w:val="001C3389"/>
    <w:rsid w:val="001C5F21"/>
    <w:rsid w:val="001D11C8"/>
    <w:rsid w:val="001D21FE"/>
    <w:rsid w:val="001D2FB8"/>
    <w:rsid w:val="001D68FE"/>
    <w:rsid w:val="001D7040"/>
    <w:rsid w:val="001E09B6"/>
    <w:rsid w:val="001E5998"/>
    <w:rsid w:val="001E78AC"/>
    <w:rsid w:val="001F09D6"/>
    <w:rsid w:val="001F42B6"/>
    <w:rsid w:val="00203427"/>
    <w:rsid w:val="002043AD"/>
    <w:rsid w:val="00205464"/>
    <w:rsid w:val="00207515"/>
    <w:rsid w:val="00212647"/>
    <w:rsid w:val="00216E4B"/>
    <w:rsid w:val="0021733B"/>
    <w:rsid w:val="002174E3"/>
    <w:rsid w:val="002240A7"/>
    <w:rsid w:val="00230E95"/>
    <w:rsid w:val="002319B8"/>
    <w:rsid w:val="00232BB6"/>
    <w:rsid w:val="002373EA"/>
    <w:rsid w:val="00242222"/>
    <w:rsid w:val="00242B53"/>
    <w:rsid w:val="00247C42"/>
    <w:rsid w:val="002522DA"/>
    <w:rsid w:val="00252B86"/>
    <w:rsid w:val="002537BD"/>
    <w:rsid w:val="00260F7C"/>
    <w:rsid w:val="00266450"/>
    <w:rsid w:val="00273E0C"/>
    <w:rsid w:val="00274174"/>
    <w:rsid w:val="00274714"/>
    <w:rsid w:val="00276945"/>
    <w:rsid w:val="002853B0"/>
    <w:rsid w:val="002873F3"/>
    <w:rsid w:val="00291A7B"/>
    <w:rsid w:val="00296967"/>
    <w:rsid w:val="002A0FA8"/>
    <w:rsid w:val="002A3842"/>
    <w:rsid w:val="002A3BE0"/>
    <w:rsid w:val="002A5657"/>
    <w:rsid w:val="002A6F12"/>
    <w:rsid w:val="002B5F03"/>
    <w:rsid w:val="002B614A"/>
    <w:rsid w:val="002B7DB3"/>
    <w:rsid w:val="002C3220"/>
    <w:rsid w:val="002D09BC"/>
    <w:rsid w:val="002D16F8"/>
    <w:rsid w:val="002D1C3B"/>
    <w:rsid w:val="002D4935"/>
    <w:rsid w:val="002D5B5F"/>
    <w:rsid w:val="002D60FD"/>
    <w:rsid w:val="002D7C31"/>
    <w:rsid w:val="002E280C"/>
    <w:rsid w:val="002E389A"/>
    <w:rsid w:val="002E4D61"/>
    <w:rsid w:val="002F4479"/>
    <w:rsid w:val="002F4555"/>
    <w:rsid w:val="002F4A34"/>
    <w:rsid w:val="002F71DA"/>
    <w:rsid w:val="002F7EAE"/>
    <w:rsid w:val="003071D3"/>
    <w:rsid w:val="00310041"/>
    <w:rsid w:val="00312ABF"/>
    <w:rsid w:val="003130FC"/>
    <w:rsid w:val="003153BA"/>
    <w:rsid w:val="00325B5E"/>
    <w:rsid w:val="00325E5B"/>
    <w:rsid w:val="00331AA1"/>
    <w:rsid w:val="003350C6"/>
    <w:rsid w:val="00337EC4"/>
    <w:rsid w:val="00341872"/>
    <w:rsid w:val="00343118"/>
    <w:rsid w:val="00344652"/>
    <w:rsid w:val="00344DF3"/>
    <w:rsid w:val="003451CD"/>
    <w:rsid w:val="00354D27"/>
    <w:rsid w:val="003553D9"/>
    <w:rsid w:val="00355407"/>
    <w:rsid w:val="00355DC0"/>
    <w:rsid w:val="00356CA1"/>
    <w:rsid w:val="00361BAE"/>
    <w:rsid w:val="00375AB5"/>
    <w:rsid w:val="00383095"/>
    <w:rsid w:val="00385C44"/>
    <w:rsid w:val="00387873"/>
    <w:rsid w:val="003878D2"/>
    <w:rsid w:val="003952A0"/>
    <w:rsid w:val="00395F8D"/>
    <w:rsid w:val="003A293C"/>
    <w:rsid w:val="003A3184"/>
    <w:rsid w:val="003A52A1"/>
    <w:rsid w:val="003A63CA"/>
    <w:rsid w:val="003A6B1E"/>
    <w:rsid w:val="003B07B0"/>
    <w:rsid w:val="003B1115"/>
    <w:rsid w:val="003B4FFA"/>
    <w:rsid w:val="003B65DC"/>
    <w:rsid w:val="003C20C3"/>
    <w:rsid w:val="003C6028"/>
    <w:rsid w:val="003C690A"/>
    <w:rsid w:val="003D744A"/>
    <w:rsid w:val="003E15AA"/>
    <w:rsid w:val="003E1AA0"/>
    <w:rsid w:val="003F077E"/>
    <w:rsid w:val="003F5FE6"/>
    <w:rsid w:val="003F67B1"/>
    <w:rsid w:val="00403D43"/>
    <w:rsid w:val="004058F8"/>
    <w:rsid w:val="0040672F"/>
    <w:rsid w:val="00411C2E"/>
    <w:rsid w:val="00414C75"/>
    <w:rsid w:val="00421E79"/>
    <w:rsid w:val="00422EE0"/>
    <w:rsid w:val="00426B2D"/>
    <w:rsid w:val="00426F56"/>
    <w:rsid w:val="00427171"/>
    <w:rsid w:val="00427A17"/>
    <w:rsid w:val="00437429"/>
    <w:rsid w:val="004419DA"/>
    <w:rsid w:val="00445671"/>
    <w:rsid w:val="004478EA"/>
    <w:rsid w:val="00451531"/>
    <w:rsid w:val="00453770"/>
    <w:rsid w:val="00454FE7"/>
    <w:rsid w:val="00455F72"/>
    <w:rsid w:val="00457047"/>
    <w:rsid w:val="00460286"/>
    <w:rsid w:val="0047272E"/>
    <w:rsid w:val="00472F50"/>
    <w:rsid w:val="00480121"/>
    <w:rsid w:val="00480B0B"/>
    <w:rsid w:val="004820FF"/>
    <w:rsid w:val="00483FB2"/>
    <w:rsid w:val="0049458C"/>
    <w:rsid w:val="00496AEE"/>
    <w:rsid w:val="004A51CA"/>
    <w:rsid w:val="004A6DA2"/>
    <w:rsid w:val="004A74BF"/>
    <w:rsid w:val="004B43EF"/>
    <w:rsid w:val="004B7953"/>
    <w:rsid w:val="004C0BB2"/>
    <w:rsid w:val="004C0D11"/>
    <w:rsid w:val="004C1E08"/>
    <w:rsid w:val="004C3260"/>
    <w:rsid w:val="004C3F6B"/>
    <w:rsid w:val="004D397F"/>
    <w:rsid w:val="004D4456"/>
    <w:rsid w:val="004D66D5"/>
    <w:rsid w:val="004D6FF6"/>
    <w:rsid w:val="004D76D3"/>
    <w:rsid w:val="004E0E27"/>
    <w:rsid w:val="004E2D09"/>
    <w:rsid w:val="004E33AC"/>
    <w:rsid w:val="004E490C"/>
    <w:rsid w:val="004E7A6D"/>
    <w:rsid w:val="004F0488"/>
    <w:rsid w:val="004F2D6D"/>
    <w:rsid w:val="004F2DCF"/>
    <w:rsid w:val="004F5DD3"/>
    <w:rsid w:val="00503C15"/>
    <w:rsid w:val="00507A76"/>
    <w:rsid w:val="00507F2A"/>
    <w:rsid w:val="00511BBE"/>
    <w:rsid w:val="00511FC1"/>
    <w:rsid w:val="00512C90"/>
    <w:rsid w:val="0051781A"/>
    <w:rsid w:val="00521AB5"/>
    <w:rsid w:val="00522EED"/>
    <w:rsid w:val="00524848"/>
    <w:rsid w:val="00524E27"/>
    <w:rsid w:val="00525987"/>
    <w:rsid w:val="00526B63"/>
    <w:rsid w:val="00531A1D"/>
    <w:rsid w:val="00536CE1"/>
    <w:rsid w:val="005377D6"/>
    <w:rsid w:val="00540FE9"/>
    <w:rsid w:val="005447C3"/>
    <w:rsid w:val="00546FB3"/>
    <w:rsid w:val="005505B6"/>
    <w:rsid w:val="00550EA2"/>
    <w:rsid w:val="0055212C"/>
    <w:rsid w:val="00556910"/>
    <w:rsid w:val="005577F7"/>
    <w:rsid w:val="0056126D"/>
    <w:rsid w:val="00565A05"/>
    <w:rsid w:val="00567999"/>
    <w:rsid w:val="0058041D"/>
    <w:rsid w:val="0058374C"/>
    <w:rsid w:val="00585263"/>
    <w:rsid w:val="0058563B"/>
    <w:rsid w:val="00591C6C"/>
    <w:rsid w:val="00592588"/>
    <w:rsid w:val="005929ED"/>
    <w:rsid w:val="00593BA9"/>
    <w:rsid w:val="00594F7E"/>
    <w:rsid w:val="005A48A5"/>
    <w:rsid w:val="005A6D56"/>
    <w:rsid w:val="005B1885"/>
    <w:rsid w:val="005B1C42"/>
    <w:rsid w:val="005B5C14"/>
    <w:rsid w:val="005C0C31"/>
    <w:rsid w:val="005C120C"/>
    <w:rsid w:val="005C14C3"/>
    <w:rsid w:val="005C1E1E"/>
    <w:rsid w:val="005C4112"/>
    <w:rsid w:val="005C5221"/>
    <w:rsid w:val="005D1D91"/>
    <w:rsid w:val="005D35B1"/>
    <w:rsid w:val="005D39CE"/>
    <w:rsid w:val="005D6B8E"/>
    <w:rsid w:val="005D79D1"/>
    <w:rsid w:val="005E3A7A"/>
    <w:rsid w:val="005E5E8E"/>
    <w:rsid w:val="005E5FBD"/>
    <w:rsid w:val="005F113A"/>
    <w:rsid w:val="005F1BD3"/>
    <w:rsid w:val="005F25DA"/>
    <w:rsid w:val="005F5910"/>
    <w:rsid w:val="00601070"/>
    <w:rsid w:val="006010C3"/>
    <w:rsid w:val="00601F1C"/>
    <w:rsid w:val="00606A5F"/>
    <w:rsid w:val="00610EE0"/>
    <w:rsid w:val="00610FE1"/>
    <w:rsid w:val="0061555A"/>
    <w:rsid w:val="00617E96"/>
    <w:rsid w:val="00623C24"/>
    <w:rsid w:val="00624355"/>
    <w:rsid w:val="00625C26"/>
    <w:rsid w:val="00626A90"/>
    <w:rsid w:val="0063035F"/>
    <w:rsid w:val="00632E2E"/>
    <w:rsid w:val="00633B93"/>
    <w:rsid w:val="006355DD"/>
    <w:rsid w:val="0064039C"/>
    <w:rsid w:val="00641318"/>
    <w:rsid w:val="00642202"/>
    <w:rsid w:val="00643341"/>
    <w:rsid w:val="00644761"/>
    <w:rsid w:val="00645EC5"/>
    <w:rsid w:val="006622D0"/>
    <w:rsid w:val="006725A2"/>
    <w:rsid w:val="006769E5"/>
    <w:rsid w:val="00677C91"/>
    <w:rsid w:val="006819C8"/>
    <w:rsid w:val="00692482"/>
    <w:rsid w:val="006973B2"/>
    <w:rsid w:val="006A5F6C"/>
    <w:rsid w:val="006A7A08"/>
    <w:rsid w:val="006B3AA7"/>
    <w:rsid w:val="006C0C31"/>
    <w:rsid w:val="006C1507"/>
    <w:rsid w:val="006C2394"/>
    <w:rsid w:val="006C2F41"/>
    <w:rsid w:val="006D3022"/>
    <w:rsid w:val="006D5E3A"/>
    <w:rsid w:val="006D61C3"/>
    <w:rsid w:val="006D649B"/>
    <w:rsid w:val="006E0A2D"/>
    <w:rsid w:val="006E3E65"/>
    <w:rsid w:val="006E5434"/>
    <w:rsid w:val="006E65A4"/>
    <w:rsid w:val="006E73BA"/>
    <w:rsid w:val="006F3FF7"/>
    <w:rsid w:val="006F4E28"/>
    <w:rsid w:val="006F4FC6"/>
    <w:rsid w:val="006F6B00"/>
    <w:rsid w:val="0070098C"/>
    <w:rsid w:val="00700F8F"/>
    <w:rsid w:val="007012D1"/>
    <w:rsid w:val="007173CD"/>
    <w:rsid w:val="00721690"/>
    <w:rsid w:val="00727E93"/>
    <w:rsid w:val="0073619D"/>
    <w:rsid w:val="0074495F"/>
    <w:rsid w:val="0074554D"/>
    <w:rsid w:val="0075178C"/>
    <w:rsid w:val="007527BB"/>
    <w:rsid w:val="00753328"/>
    <w:rsid w:val="007552AE"/>
    <w:rsid w:val="007554DE"/>
    <w:rsid w:val="00761EE7"/>
    <w:rsid w:val="007755FD"/>
    <w:rsid w:val="00782F2C"/>
    <w:rsid w:val="007852B2"/>
    <w:rsid w:val="00795D65"/>
    <w:rsid w:val="007965F7"/>
    <w:rsid w:val="007A48CB"/>
    <w:rsid w:val="007A72F1"/>
    <w:rsid w:val="007B01CB"/>
    <w:rsid w:val="007B119F"/>
    <w:rsid w:val="007B3D71"/>
    <w:rsid w:val="007D1307"/>
    <w:rsid w:val="007E0ADA"/>
    <w:rsid w:val="007E1723"/>
    <w:rsid w:val="007E360F"/>
    <w:rsid w:val="007F2B17"/>
    <w:rsid w:val="007F2E80"/>
    <w:rsid w:val="007F5C86"/>
    <w:rsid w:val="007F7C80"/>
    <w:rsid w:val="00801E8C"/>
    <w:rsid w:val="008036F3"/>
    <w:rsid w:val="00806DD8"/>
    <w:rsid w:val="00811763"/>
    <w:rsid w:val="0081251C"/>
    <w:rsid w:val="00816BDA"/>
    <w:rsid w:val="00817566"/>
    <w:rsid w:val="00826655"/>
    <w:rsid w:val="0082782D"/>
    <w:rsid w:val="008314F6"/>
    <w:rsid w:val="00833A65"/>
    <w:rsid w:val="00834E2A"/>
    <w:rsid w:val="00835815"/>
    <w:rsid w:val="0084109A"/>
    <w:rsid w:val="008416BB"/>
    <w:rsid w:val="00843834"/>
    <w:rsid w:val="008450E3"/>
    <w:rsid w:val="00850D8F"/>
    <w:rsid w:val="00851470"/>
    <w:rsid w:val="008564AC"/>
    <w:rsid w:val="00857387"/>
    <w:rsid w:val="00860AEE"/>
    <w:rsid w:val="00863F36"/>
    <w:rsid w:val="00865112"/>
    <w:rsid w:val="00871D16"/>
    <w:rsid w:val="00873526"/>
    <w:rsid w:val="00873757"/>
    <w:rsid w:val="00873A9A"/>
    <w:rsid w:val="00874BD1"/>
    <w:rsid w:val="00875DDF"/>
    <w:rsid w:val="00881CB4"/>
    <w:rsid w:val="00882281"/>
    <w:rsid w:val="00883D06"/>
    <w:rsid w:val="00883F03"/>
    <w:rsid w:val="00892270"/>
    <w:rsid w:val="00893D38"/>
    <w:rsid w:val="00893F41"/>
    <w:rsid w:val="00894768"/>
    <w:rsid w:val="00896748"/>
    <w:rsid w:val="008A20DE"/>
    <w:rsid w:val="008A26F8"/>
    <w:rsid w:val="008A4C16"/>
    <w:rsid w:val="008A54CA"/>
    <w:rsid w:val="008B066E"/>
    <w:rsid w:val="008B25A1"/>
    <w:rsid w:val="008C3B72"/>
    <w:rsid w:val="008C4A69"/>
    <w:rsid w:val="008D12E0"/>
    <w:rsid w:val="008D2ED4"/>
    <w:rsid w:val="008D6176"/>
    <w:rsid w:val="008D66EC"/>
    <w:rsid w:val="008D68AE"/>
    <w:rsid w:val="008E1B01"/>
    <w:rsid w:val="008E64D9"/>
    <w:rsid w:val="008F36FC"/>
    <w:rsid w:val="008F3A4A"/>
    <w:rsid w:val="008F424D"/>
    <w:rsid w:val="00900C42"/>
    <w:rsid w:val="00911C91"/>
    <w:rsid w:val="00911F26"/>
    <w:rsid w:val="009146D5"/>
    <w:rsid w:val="00924C43"/>
    <w:rsid w:val="00932C1E"/>
    <w:rsid w:val="009417BC"/>
    <w:rsid w:val="00941C7C"/>
    <w:rsid w:val="009422E3"/>
    <w:rsid w:val="00951C0C"/>
    <w:rsid w:val="0095349A"/>
    <w:rsid w:val="00954871"/>
    <w:rsid w:val="00954CA4"/>
    <w:rsid w:val="00955D6B"/>
    <w:rsid w:val="0096403E"/>
    <w:rsid w:val="0096496B"/>
    <w:rsid w:val="00967205"/>
    <w:rsid w:val="00974D6A"/>
    <w:rsid w:val="0097589C"/>
    <w:rsid w:val="00985F0B"/>
    <w:rsid w:val="009A02B7"/>
    <w:rsid w:val="009A3600"/>
    <w:rsid w:val="009A4BDE"/>
    <w:rsid w:val="009A4BF7"/>
    <w:rsid w:val="009A52C1"/>
    <w:rsid w:val="009A7474"/>
    <w:rsid w:val="009A78AB"/>
    <w:rsid w:val="009C1F2A"/>
    <w:rsid w:val="009C531F"/>
    <w:rsid w:val="009C74D7"/>
    <w:rsid w:val="009D35CA"/>
    <w:rsid w:val="009D6E01"/>
    <w:rsid w:val="009F1964"/>
    <w:rsid w:val="009F462B"/>
    <w:rsid w:val="009F6083"/>
    <w:rsid w:val="00A00DFF"/>
    <w:rsid w:val="00A01748"/>
    <w:rsid w:val="00A01B67"/>
    <w:rsid w:val="00A0259E"/>
    <w:rsid w:val="00A05239"/>
    <w:rsid w:val="00A05378"/>
    <w:rsid w:val="00A06BF5"/>
    <w:rsid w:val="00A15886"/>
    <w:rsid w:val="00A16F3D"/>
    <w:rsid w:val="00A2212A"/>
    <w:rsid w:val="00A23D08"/>
    <w:rsid w:val="00A26C98"/>
    <w:rsid w:val="00A302A1"/>
    <w:rsid w:val="00A31EBD"/>
    <w:rsid w:val="00A331DE"/>
    <w:rsid w:val="00A3400A"/>
    <w:rsid w:val="00A36565"/>
    <w:rsid w:val="00A36F22"/>
    <w:rsid w:val="00A40214"/>
    <w:rsid w:val="00A4079F"/>
    <w:rsid w:val="00A43507"/>
    <w:rsid w:val="00A44E06"/>
    <w:rsid w:val="00A45133"/>
    <w:rsid w:val="00A50A3E"/>
    <w:rsid w:val="00A56AFA"/>
    <w:rsid w:val="00A57281"/>
    <w:rsid w:val="00A634F7"/>
    <w:rsid w:val="00A7029A"/>
    <w:rsid w:val="00A72CAC"/>
    <w:rsid w:val="00A73CE1"/>
    <w:rsid w:val="00A75E26"/>
    <w:rsid w:val="00A76724"/>
    <w:rsid w:val="00A83E20"/>
    <w:rsid w:val="00A83E9F"/>
    <w:rsid w:val="00A86C5F"/>
    <w:rsid w:val="00A87DBF"/>
    <w:rsid w:val="00AA1979"/>
    <w:rsid w:val="00AB2757"/>
    <w:rsid w:val="00AB3400"/>
    <w:rsid w:val="00AB4178"/>
    <w:rsid w:val="00AB4B90"/>
    <w:rsid w:val="00AB640E"/>
    <w:rsid w:val="00AB65C4"/>
    <w:rsid w:val="00AB7A25"/>
    <w:rsid w:val="00AC3EF0"/>
    <w:rsid w:val="00AD3F28"/>
    <w:rsid w:val="00AD4182"/>
    <w:rsid w:val="00AD4729"/>
    <w:rsid w:val="00AD6565"/>
    <w:rsid w:val="00AD66AF"/>
    <w:rsid w:val="00AE127C"/>
    <w:rsid w:val="00AE2F27"/>
    <w:rsid w:val="00AE311E"/>
    <w:rsid w:val="00AE3BFE"/>
    <w:rsid w:val="00AE4CCF"/>
    <w:rsid w:val="00AE64A3"/>
    <w:rsid w:val="00AF2BFB"/>
    <w:rsid w:val="00AF5A84"/>
    <w:rsid w:val="00B070D0"/>
    <w:rsid w:val="00B10167"/>
    <w:rsid w:val="00B10CE6"/>
    <w:rsid w:val="00B1661F"/>
    <w:rsid w:val="00B17AA5"/>
    <w:rsid w:val="00B211DB"/>
    <w:rsid w:val="00B22B16"/>
    <w:rsid w:val="00B2410A"/>
    <w:rsid w:val="00B25D58"/>
    <w:rsid w:val="00B36945"/>
    <w:rsid w:val="00B36C1E"/>
    <w:rsid w:val="00B400E7"/>
    <w:rsid w:val="00B4058B"/>
    <w:rsid w:val="00B40834"/>
    <w:rsid w:val="00B40DBA"/>
    <w:rsid w:val="00B45D0B"/>
    <w:rsid w:val="00B47107"/>
    <w:rsid w:val="00B47A72"/>
    <w:rsid w:val="00B53EB0"/>
    <w:rsid w:val="00B54D58"/>
    <w:rsid w:val="00B57D7B"/>
    <w:rsid w:val="00B6193B"/>
    <w:rsid w:val="00B63326"/>
    <w:rsid w:val="00B819B8"/>
    <w:rsid w:val="00B828CB"/>
    <w:rsid w:val="00B850A3"/>
    <w:rsid w:val="00B8678F"/>
    <w:rsid w:val="00B91331"/>
    <w:rsid w:val="00B91F02"/>
    <w:rsid w:val="00BA1302"/>
    <w:rsid w:val="00BA1EC2"/>
    <w:rsid w:val="00BA3523"/>
    <w:rsid w:val="00BA52D3"/>
    <w:rsid w:val="00BA5A94"/>
    <w:rsid w:val="00BB51B4"/>
    <w:rsid w:val="00BB68F3"/>
    <w:rsid w:val="00BB6EA0"/>
    <w:rsid w:val="00BC35BB"/>
    <w:rsid w:val="00BC485A"/>
    <w:rsid w:val="00BC4C1A"/>
    <w:rsid w:val="00BD0039"/>
    <w:rsid w:val="00BD1CAD"/>
    <w:rsid w:val="00BD2BBC"/>
    <w:rsid w:val="00BD71E6"/>
    <w:rsid w:val="00BD7860"/>
    <w:rsid w:val="00BE0554"/>
    <w:rsid w:val="00BE439E"/>
    <w:rsid w:val="00BF301D"/>
    <w:rsid w:val="00BF394A"/>
    <w:rsid w:val="00BF6CD1"/>
    <w:rsid w:val="00C00F10"/>
    <w:rsid w:val="00C04ED3"/>
    <w:rsid w:val="00C05FC4"/>
    <w:rsid w:val="00C101B5"/>
    <w:rsid w:val="00C1274E"/>
    <w:rsid w:val="00C14241"/>
    <w:rsid w:val="00C16AA2"/>
    <w:rsid w:val="00C2500F"/>
    <w:rsid w:val="00C27970"/>
    <w:rsid w:val="00C30648"/>
    <w:rsid w:val="00C3116A"/>
    <w:rsid w:val="00C323AE"/>
    <w:rsid w:val="00C3547C"/>
    <w:rsid w:val="00C3773B"/>
    <w:rsid w:val="00C42551"/>
    <w:rsid w:val="00C5010E"/>
    <w:rsid w:val="00C53B82"/>
    <w:rsid w:val="00C555B6"/>
    <w:rsid w:val="00C55AB8"/>
    <w:rsid w:val="00C56D62"/>
    <w:rsid w:val="00C57590"/>
    <w:rsid w:val="00C61296"/>
    <w:rsid w:val="00C6608B"/>
    <w:rsid w:val="00C74E6F"/>
    <w:rsid w:val="00C75956"/>
    <w:rsid w:val="00C76040"/>
    <w:rsid w:val="00C777B0"/>
    <w:rsid w:val="00C846DD"/>
    <w:rsid w:val="00C87C4D"/>
    <w:rsid w:val="00C92439"/>
    <w:rsid w:val="00C942CB"/>
    <w:rsid w:val="00C94533"/>
    <w:rsid w:val="00CA2E9E"/>
    <w:rsid w:val="00CB05DB"/>
    <w:rsid w:val="00CB41D2"/>
    <w:rsid w:val="00CB6852"/>
    <w:rsid w:val="00CC33E0"/>
    <w:rsid w:val="00CC3D3F"/>
    <w:rsid w:val="00CC5DB9"/>
    <w:rsid w:val="00CC67D9"/>
    <w:rsid w:val="00CC7E86"/>
    <w:rsid w:val="00CD2F41"/>
    <w:rsid w:val="00CD4EC1"/>
    <w:rsid w:val="00CD5A2D"/>
    <w:rsid w:val="00CE02AC"/>
    <w:rsid w:val="00CE142B"/>
    <w:rsid w:val="00CE588E"/>
    <w:rsid w:val="00CF02D1"/>
    <w:rsid w:val="00CF1887"/>
    <w:rsid w:val="00CF20C0"/>
    <w:rsid w:val="00CF3B33"/>
    <w:rsid w:val="00CF4C55"/>
    <w:rsid w:val="00CF608C"/>
    <w:rsid w:val="00CF6A7C"/>
    <w:rsid w:val="00D02D9F"/>
    <w:rsid w:val="00D06BD4"/>
    <w:rsid w:val="00D07D61"/>
    <w:rsid w:val="00D1072D"/>
    <w:rsid w:val="00D122DD"/>
    <w:rsid w:val="00D260BF"/>
    <w:rsid w:val="00D35C54"/>
    <w:rsid w:val="00D362D3"/>
    <w:rsid w:val="00D4792A"/>
    <w:rsid w:val="00D52965"/>
    <w:rsid w:val="00D536D9"/>
    <w:rsid w:val="00D5457E"/>
    <w:rsid w:val="00D60997"/>
    <w:rsid w:val="00D624CD"/>
    <w:rsid w:val="00D74C15"/>
    <w:rsid w:val="00D754DE"/>
    <w:rsid w:val="00D755E6"/>
    <w:rsid w:val="00D80DF7"/>
    <w:rsid w:val="00D8338E"/>
    <w:rsid w:val="00D85C77"/>
    <w:rsid w:val="00D92E69"/>
    <w:rsid w:val="00D93577"/>
    <w:rsid w:val="00D96085"/>
    <w:rsid w:val="00D96B68"/>
    <w:rsid w:val="00DA3C34"/>
    <w:rsid w:val="00DA3E72"/>
    <w:rsid w:val="00DA5294"/>
    <w:rsid w:val="00DC0D58"/>
    <w:rsid w:val="00DC597F"/>
    <w:rsid w:val="00DC7951"/>
    <w:rsid w:val="00DD2880"/>
    <w:rsid w:val="00DE33D2"/>
    <w:rsid w:val="00DE463B"/>
    <w:rsid w:val="00DF6114"/>
    <w:rsid w:val="00E003D8"/>
    <w:rsid w:val="00E02C4B"/>
    <w:rsid w:val="00E04054"/>
    <w:rsid w:val="00E05414"/>
    <w:rsid w:val="00E06A99"/>
    <w:rsid w:val="00E178CF"/>
    <w:rsid w:val="00E234B9"/>
    <w:rsid w:val="00E2768A"/>
    <w:rsid w:val="00E32C55"/>
    <w:rsid w:val="00E36912"/>
    <w:rsid w:val="00E408FF"/>
    <w:rsid w:val="00E42C4C"/>
    <w:rsid w:val="00E60DEE"/>
    <w:rsid w:val="00E61DBD"/>
    <w:rsid w:val="00E629F2"/>
    <w:rsid w:val="00E63C53"/>
    <w:rsid w:val="00E65CE9"/>
    <w:rsid w:val="00E7066D"/>
    <w:rsid w:val="00E73546"/>
    <w:rsid w:val="00E763B5"/>
    <w:rsid w:val="00E801C1"/>
    <w:rsid w:val="00E80D4F"/>
    <w:rsid w:val="00E83E4A"/>
    <w:rsid w:val="00E8669A"/>
    <w:rsid w:val="00E87693"/>
    <w:rsid w:val="00E9077F"/>
    <w:rsid w:val="00E93EC6"/>
    <w:rsid w:val="00E94A38"/>
    <w:rsid w:val="00E972EA"/>
    <w:rsid w:val="00EA05E4"/>
    <w:rsid w:val="00EA208E"/>
    <w:rsid w:val="00EA27AD"/>
    <w:rsid w:val="00EA2F63"/>
    <w:rsid w:val="00EB7F51"/>
    <w:rsid w:val="00EC3909"/>
    <w:rsid w:val="00EC6351"/>
    <w:rsid w:val="00EC7791"/>
    <w:rsid w:val="00EC7BA0"/>
    <w:rsid w:val="00ED03BE"/>
    <w:rsid w:val="00ED096D"/>
    <w:rsid w:val="00ED100B"/>
    <w:rsid w:val="00ED3D35"/>
    <w:rsid w:val="00ED7982"/>
    <w:rsid w:val="00EE0A58"/>
    <w:rsid w:val="00EE4674"/>
    <w:rsid w:val="00EE5590"/>
    <w:rsid w:val="00EF43CD"/>
    <w:rsid w:val="00EF5D1D"/>
    <w:rsid w:val="00F002DA"/>
    <w:rsid w:val="00F004CF"/>
    <w:rsid w:val="00F0124D"/>
    <w:rsid w:val="00F02CFD"/>
    <w:rsid w:val="00F03940"/>
    <w:rsid w:val="00F06416"/>
    <w:rsid w:val="00F1158A"/>
    <w:rsid w:val="00F11BB9"/>
    <w:rsid w:val="00F14C2C"/>
    <w:rsid w:val="00F15ED9"/>
    <w:rsid w:val="00F17D27"/>
    <w:rsid w:val="00F27322"/>
    <w:rsid w:val="00F30E36"/>
    <w:rsid w:val="00F347D1"/>
    <w:rsid w:val="00F35EE5"/>
    <w:rsid w:val="00F420DD"/>
    <w:rsid w:val="00F43119"/>
    <w:rsid w:val="00F444D2"/>
    <w:rsid w:val="00F47D62"/>
    <w:rsid w:val="00F505EF"/>
    <w:rsid w:val="00F527E6"/>
    <w:rsid w:val="00F54F12"/>
    <w:rsid w:val="00F574C0"/>
    <w:rsid w:val="00F60946"/>
    <w:rsid w:val="00F6281E"/>
    <w:rsid w:val="00F64203"/>
    <w:rsid w:val="00F648E5"/>
    <w:rsid w:val="00F65E2D"/>
    <w:rsid w:val="00F718EE"/>
    <w:rsid w:val="00F739BA"/>
    <w:rsid w:val="00F75974"/>
    <w:rsid w:val="00F80AF4"/>
    <w:rsid w:val="00F822A5"/>
    <w:rsid w:val="00F828EE"/>
    <w:rsid w:val="00F84FF8"/>
    <w:rsid w:val="00F97D40"/>
    <w:rsid w:val="00FA042C"/>
    <w:rsid w:val="00FA09DD"/>
    <w:rsid w:val="00FA4A98"/>
    <w:rsid w:val="00FA5F60"/>
    <w:rsid w:val="00FB38BC"/>
    <w:rsid w:val="00FC3671"/>
    <w:rsid w:val="00FD29AF"/>
    <w:rsid w:val="00FD409C"/>
    <w:rsid w:val="00FD5FA3"/>
    <w:rsid w:val="00FD6096"/>
    <w:rsid w:val="00FE41FF"/>
    <w:rsid w:val="00FE74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3"/>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9A78AB"/>
    <w:pPr>
      <w:spacing w:after="0" w:line="240" w:lineRule="auto"/>
    </w:pPr>
    <w:rPr>
      <w:sz w:val="24"/>
    </w:rPr>
  </w:style>
  <w:style w:type="paragraph" w:styleId="Heading1">
    <w:name w:val="heading 1"/>
    <w:basedOn w:val="Normal"/>
    <w:next w:val="Normal"/>
    <w:link w:val="Heading1Char"/>
    <w:uiPriority w:val="9"/>
    <w:qFormat/>
    <w:rsid w:val="00A73CE1"/>
    <w:pPr>
      <w:keepNext/>
      <w:keepLines/>
      <w:numPr>
        <w:numId w:val="1"/>
      </w:numPr>
      <w:pBdr>
        <w:bottom w:val="single" w:sz="4" w:space="1" w:color="auto"/>
      </w:pBdr>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BC4C1A"/>
    <w:pPr>
      <w:keepNext/>
      <w:keepLines/>
      <w:numPr>
        <w:ilvl w:val="1"/>
        <w:numId w:val="1"/>
      </w:num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BA5A94"/>
    <w:pPr>
      <w:keepNext/>
      <w:numPr>
        <w:ilvl w:val="2"/>
        <w:numId w:val="1"/>
      </w:numPr>
      <w:spacing w:before="200" w:after="240"/>
      <w:outlineLvl w:val="2"/>
    </w:pPr>
    <w:rPr>
      <w:rFonts w:eastAsiaTheme="majorEastAsia" w:cstheme="majorBidi"/>
      <w:bCs/>
    </w:rPr>
  </w:style>
  <w:style w:type="paragraph" w:styleId="Heading4">
    <w:name w:val="heading 4"/>
    <w:basedOn w:val="Normal"/>
    <w:next w:val="Normal"/>
    <w:link w:val="Heading4Char"/>
    <w:uiPriority w:val="9"/>
    <w:unhideWhenUsed/>
    <w:qFormat/>
    <w:rsid w:val="00BA5A94"/>
    <w:pPr>
      <w:keepLines/>
      <w:numPr>
        <w:ilvl w:val="3"/>
        <w:numId w:val="1"/>
      </w:numPr>
      <w:spacing w:before="200" w:after="240"/>
      <w:ind w:left="862" w:hanging="862"/>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CD2F41"/>
    <w:pPr>
      <w:keepNext/>
      <w:keepLines/>
      <w:numPr>
        <w:ilvl w:val="4"/>
        <w:numId w:val="1"/>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CD2F41"/>
    <w:pPr>
      <w:keepNext/>
      <w:keepLines/>
      <w:numPr>
        <w:ilvl w:val="5"/>
        <w:numId w:val="1"/>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CD2F41"/>
    <w:pPr>
      <w:keepNext/>
      <w:keepLines/>
      <w:numPr>
        <w:ilvl w:val="6"/>
        <w:numId w:val="1"/>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D2F4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302"/>
    <w:pPr>
      <w:spacing w:after="30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0A2302"/>
    <w:rPr>
      <w:rFonts w:asciiTheme="majorHAnsi" w:eastAsiaTheme="majorEastAsia" w:hAnsiTheme="majorHAnsi" w:cstheme="majorBidi"/>
      <w:b/>
      <w:spacing w:val="5"/>
      <w:kern w:val="28"/>
      <w:sz w:val="32"/>
      <w:szCs w:val="52"/>
      <w:lang w:val="en-US"/>
    </w:rPr>
  </w:style>
  <w:style w:type="character" w:customStyle="1" w:styleId="Heading1Char">
    <w:name w:val="Heading 1 Char"/>
    <w:basedOn w:val="DefaultParagraphFont"/>
    <w:link w:val="Heading1"/>
    <w:uiPriority w:val="9"/>
    <w:rsid w:val="00A73CE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C4C1A"/>
    <w:rPr>
      <w:rFonts w:asciiTheme="majorHAnsi" w:eastAsiaTheme="majorEastAsia" w:hAnsiTheme="majorHAnsi" w:cstheme="majorBidi"/>
      <w:b/>
      <w:bCs/>
      <w:sz w:val="26"/>
      <w:szCs w:val="26"/>
    </w:rPr>
  </w:style>
  <w:style w:type="paragraph" w:customStyle="1" w:styleId="Abstract">
    <w:name w:val="Abstract"/>
    <w:basedOn w:val="BodyText"/>
    <w:rsid w:val="00CD2F41"/>
  </w:style>
  <w:style w:type="paragraph" w:styleId="BodyText">
    <w:name w:val="Body Text"/>
    <w:basedOn w:val="Normal"/>
    <w:link w:val="BodyTextChar"/>
    <w:uiPriority w:val="1"/>
    <w:qFormat/>
    <w:rsid w:val="00CD2F41"/>
    <w:pPr>
      <w:spacing w:after="120"/>
    </w:pPr>
  </w:style>
  <w:style w:type="character" w:customStyle="1" w:styleId="BodyTextChar">
    <w:name w:val="Body Text Char"/>
    <w:basedOn w:val="DefaultParagraphFont"/>
    <w:link w:val="BodyText"/>
    <w:rsid w:val="00CD2F41"/>
    <w:rPr>
      <w:sz w:val="24"/>
      <w:lang w:val="en-US"/>
    </w:rPr>
  </w:style>
  <w:style w:type="paragraph" w:styleId="BodyText2">
    <w:name w:val="Body Text 2"/>
    <w:basedOn w:val="Normal"/>
    <w:link w:val="BodyText2Char"/>
    <w:uiPriority w:val="3"/>
    <w:rsid w:val="00CD2F41"/>
    <w:pPr>
      <w:spacing w:after="120" w:line="480" w:lineRule="auto"/>
    </w:pPr>
    <w:rPr>
      <w:rFonts w:ascii="Times New Roman" w:eastAsia="Times New Roman" w:hAnsi="Times New Roman" w:cs="Times New Roman"/>
      <w:sz w:val="22"/>
      <w:szCs w:val="24"/>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eastAsia="Times New Roman" w:hAnsi="Times New Roman" w:cs="Times New Roman"/>
      <w:b/>
      <w:bCs/>
      <w:sz w:val="22"/>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eastAsia="Times New Roman" w:hAnsi="Times New Roman" w:cs="Times New Roman"/>
      <w:i/>
      <w:sz w:val="18"/>
      <w:szCs w:val="24"/>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eastAsia="Times New Roman" w:hAnsi="Times New Roman" w:cs="Times New Roman"/>
      <w:i/>
      <w:sz w:val="18"/>
      <w:szCs w:val="24"/>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eastAsia="Times New Roman" w:hAnsi="Times New Roman" w:cs="Times New Roman"/>
      <w:sz w:val="22"/>
      <w:szCs w:val="24"/>
      <w:lang w:eastAsia="en-GB"/>
    </w:rPr>
  </w:style>
  <w:style w:type="paragraph" w:styleId="Bibliography">
    <w:name w:val="Bibliography"/>
    <w:basedOn w:val="Normal"/>
    <w:rsid w:val="00CD2F41"/>
    <w:pPr>
      <w:ind w:left="482" w:hanging="482"/>
    </w:pPr>
    <w:rPr>
      <w:rFonts w:ascii="Times New Roman" w:eastAsia="Times New Roman" w:hAnsi="Times New Roman" w:cs="Times New Roman"/>
      <w:szCs w:val="24"/>
    </w:rPr>
  </w:style>
  <w:style w:type="paragraph" w:customStyle="1" w:styleId="Note">
    <w:name w:val="Note"/>
    <w:basedOn w:val="Normal"/>
    <w:rsid w:val="00CD2F41"/>
    <w:pPr>
      <w:widowControl w:val="0"/>
    </w:pPr>
    <w:rPr>
      <w:rFonts w:ascii="Times New Roman" w:eastAsia="PMingLiU" w:hAnsi="Times New Roman" w:cs="Times New Roman"/>
      <w:i/>
      <w:kern w:val="2"/>
      <w:sz w:val="18"/>
      <w:szCs w:val="24"/>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eastAsia="Times New Roman" w:hAnsi="Calibri" w:cs="Times New Roman"/>
    </w:rPr>
  </w:style>
  <w:style w:type="character" w:customStyle="1" w:styleId="Heading3Char">
    <w:name w:val="Heading 3 Char"/>
    <w:basedOn w:val="DefaultParagraphFont"/>
    <w:link w:val="Heading3"/>
    <w:uiPriority w:val="9"/>
    <w:rsid w:val="00BA5A94"/>
    <w:rPr>
      <w:rFonts w:eastAsiaTheme="majorEastAsia" w:cstheme="majorBidi"/>
      <w:bCs/>
      <w:sz w:val="24"/>
    </w:rPr>
  </w:style>
  <w:style w:type="character" w:customStyle="1" w:styleId="Heading4Char">
    <w:name w:val="Heading 4 Char"/>
    <w:basedOn w:val="DefaultParagraphFont"/>
    <w:link w:val="Heading4"/>
    <w:uiPriority w:val="9"/>
    <w:rsid w:val="00BA5A94"/>
    <w:rPr>
      <w:rFonts w:eastAsiaTheme="majorEastAsia" w:cstheme="majorBidi"/>
      <w:bCs/>
      <w:iCs/>
      <w:sz w:val="24"/>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rPr>
  </w:style>
  <w:style w:type="paragraph" w:customStyle="1" w:styleId="Response">
    <w:name w:val="Response"/>
    <w:basedOn w:val="BodyText"/>
    <w:link w:val="ResponseChar"/>
    <w:rsid w:val="00CD2F41"/>
    <w:pPr>
      <w:spacing w:after="240"/>
      <w:ind w:left="720" w:firstLine="720"/>
      <w:jc w:val="both"/>
    </w:pPr>
    <w:rPr>
      <w:rFonts w:eastAsia="PMingLiU" w:cs="Times New Roman"/>
      <w:szCs w:val="24"/>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cs="Times New Roman"/>
      <w:b/>
      <w:szCs w:val="24"/>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iPriority w:val="99"/>
    <w:unhideWhenUsed/>
    <w:rsid w:val="00F648E5"/>
    <w:rPr>
      <w:color w:val="0000FF" w:themeColor="hyperlink"/>
      <w:u w:val="single"/>
    </w:rPr>
  </w:style>
  <w:style w:type="paragraph" w:styleId="ListParagraph">
    <w:name w:val="List Paragraph"/>
    <w:basedOn w:val="Normal"/>
    <w:uiPriority w:val="1"/>
    <w:qFormat/>
    <w:rsid w:val="006C2394"/>
    <w:pPr>
      <w:ind w:left="720"/>
      <w:contextualSpacing/>
    </w:pPr>
  </w:style>
  <w:style w:type="paragraph" w:customStyle="1" w:styleId="TableParagraph">
    <w:name w:val="Table Paragraph"/>
    <w:basedOn w:val="Normal"/>
    <w:uiPriority w:val="1"/>
    <w:qFormat/>
    <w:rsid w:val="002E389A"/>
    <w:pPr>
      <w:widowControl w:val="0"/>
    </w:pPr>
    <w:rPr>
      <w:sz w:val="22"/>
    </w:rPr>
  </w:style>
  <w:style w:type="paragraph" w:styleId="BalloonText">
    <w:name w:val="Balloon Text"/>
    <w:basedOn w:val="Normal"/>
    <w:link w:val="BalloonTextChar"/>
    <w:uiPriority w:val="99"/>
    <w:semiHidden/>
    <w:unhideWhenUsed/>
    <w:rsid w:val="00B22B16"/>
    <w:rPr>
      <w:rFonts w:ascii="Tahoma" w:hAnsi="Tahoma" w:cs="Tahoma"/>
      <w:sz w:val="16"/>
      <w:szCs w:val="16"/>
    </w:rPr>
  </w:style>
  <w:style w:type="character" w:customStyle="1" w:styleId="BalloonTextChar">
    <w:name w:val="Balloon Text Char"/>
    <w:basedOn w:val="DefaultParagraphFont"/>
    <w:link w:val="BalloonText"/>
    <w:uiPriority w:val="99"/>
    <w:semiHidden/>
    <w:rsid w:val="00B22B16"/>
    <w:rPr>
      <w:rFonts w:ascii="Tahoma" w:hAnsi="Tahoma" w:cs="Tahoma"/>
      <w:sz w:val="16"/>
      <w:szCs w:val="16"/>
      <w:lang w:val="en-US"/>
    </w:rPr>
  </w:style>
  <w:style w:type="character" w:styleId="CommentReference">
    <w:name w:val="annotation reference"/>
    <w:basedOn w:val="DefaultParagraphFont"/>
    <w:uiPriority w:val="99"/>
    <w:semiHidden/>
    <w:unhideWhenUsed/>
    <w:rsid w:val="00DF6114"/>
    <w:rPr>
      <w:sz w:val="16"/>
      <w:szCs w:val="16"/>
    </w:rPr>
  </w:style>
  <w:style w:type="paragraph" w:styleId="CommentText">
    <w:name w:val="annotation text"/>
    <w:basedOn w:val="Normal"/>
    <w:link w:val="CommentTextChar"/>
    <w:uiPriority w:val="99"/>
    <w:semiHidden/>
    <w:unhideWhenUsed/>
    <w:rsid w:val="00DF6114"/>
    <w:rPr>
      <w:sz w:val="20"/>
      <w:szCs w:val="20"/>
    </w:rPr>
  </w:style>
  <w:style w:type="character" w:customStyle="1" w:styleId="CommentTextChar">
    <w:name w:val="Comment Text Char"/>
    <w:basedOn w:val="DefaultParagraphFont"/>
    <w:link w:val="CommentText"/>
    <w:uiPriority w:val="99"/>
    <w:semiHidden/>
    <w:rsid w:val="00DF6114"/>
    <w:rPr>
      <w:sz w:val="20"/>
      <w:szCs w:val="20"/>
    </w:rPr>
  </w:style>
  <w:style w:type="paragraph" w:styleId="CommentSubject">
    <w:name w:val="annotation subject"/>
    <w:basedOn w:val="CommentText"/>
    <w:next w:val="CommentText"/>
    <w:link w:val="CommentSubjectChar"/>
    <w:uiPriority w:val="99"/>
    <w:semiHidden/>
    <w:unhideWhenUsed/>
    <w:rsid w:val="00DF6114"/>
    <w:rPr>
      <w:b/>
      <w:bCs/>
    </w:rPr>
  </w:style>
  <w:style w:type="character" w:customStyle="1" w:styleId="CommentSubjectChar">
    <w:name w:val="Comment Subject Char"/>
    <w:basedOn w:val="CommentTextChar"/>
    <w:link w:val="CommentSubject"/>
    <w:uiPriority w:val="99"/>
    <w:semiHidden/>
    <w:rsid w:val="00DF61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3"/>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9A78AB"/>
    <w:pPr>
      <w:spacing w:after="0" w:line="240" w:lineRule="auto"/>
    </w:pPr>
    <w:rPr>
      <w:sz w:val="24"/>
    </w:rPr>
  </w:style>
  <w:style w:type="paragraph" w:styleId="Heading1">
    <w:name w:val="heading 1"/>
    <w:basedOn w:val="Normal"/>
    <w:next w:val="Normal"/>
    <w:link w:val="Heading1Char"/>
    <w:uiPriority w:val="9"/>
    <w:qFormat/>
    <w:rsid w:val="00A73CE1"/>
    <w:pPr>
      <w:keepNext/>
      <w:keepLines/>
      <w:numPr>
        <w:numId w:val="1"/>
      </w:numPr>
      <w:pBdr>
        <w:bottom w:val="single" w:sz="4" w:space="1" w:color="auto"/>
      </w:pBdr>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BC4C1A"/>
    <w:pPr>
      <w:keepNext/>
      <w:keepLines/>
      <w:numPr>
        <w:ilvl w:val="1"/>
        <w:numId w:val="1"/>
      </w:num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BA5A94"/>
    <w:pPr>
      <w:keepNext/>
      <w:numPr>
        <w:ilvl w:val="2"/>
        <w:numId w:val="1"/>
      </w:numPr>
      <w:spacing w:before="200" w:after="240"/>
      <w:outlineLvl w:val="2"/>
    </w:pPr>
    <w:rPr>
      <w:rFonts w:eastAsiaTheme="majorEastAsia" w:cstheme="majorBidi"/>
      <w:bCs/>
    </w:rPr>
  </w:style>
  <w:style w:type="paragraph" w:styleId="Heading4">
    <w:name w:val="heading 4"/>
    <w:basedOn w:val="Normal"/>
    <w:next w:val="Normal"/>
    <w:link w:val="Heading4Char"/>
    <w:uiPriority w:val="9"/>
    <w:unhideWhenUsed/>
    <w:qFormat/>
    <w:rsid w:val="00BA5A94"/>
    <w:pPr>
      <w:keepLines/>
      <w:numPr>
        <w:ilvl w:val="3"/>
        <w:numId w:val="1"/>
      </w:numPr>
      <w:spacing w:before="200" w:after="240"/>
      <w:ind w:left="862" w:hanging="862"/>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CD2F41"/>
    <w:pPr>
      <w:keepNext/>
      <w:keepLines/>
      <w:numPr>
        <w:ilvl w:val="4"/>
        <w:numId w:val="1"/>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CD2F41"/>
    <w:pPr>
      <w:keepNext/>
      <w:keepLines/>
      <w:numPr>
        <w:ilvl w:val="5"/>
        <w:numId w:val="1"/>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CD2F41"/>
    <w:pPr>
      <w:keepNext/>
      <w:keepLines/>
      <w:numPr>
        <w:ilvl w:val="6"/>
        <w:numId w:val="1"/>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D2F4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302"/>
    <w:pPr>
      <w:spacing w:after="30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0A2302"/>
    <w:rPr>
      <w:rFonts w:asciiTheme="majorHAnsi" w:eastAsiaTheme="majorEastAsia" w:hAnsiTheme="majorHAnsi" w:cstheme="majorBidi"/>
      <w:b/>
      <w:spacing w:val="5"/>
      <w:kern w:val="28"/>
      <w:sz w:val="32"/>
      <w:szCs w:val="52"/>
      <w:lang w:val="en-US"/>
    </w:rPr>
  </w:style>
  <w:style w:type="character" w:customStyle="1" w:styleId="Heading1Char">
    <w:name w:val="Heading 1 Char"/>
    <w:basedOn w:val="DefaultParagraphFont"/>
    <w:link w:val="Heading1"/>
    <w:uiPriority w:val="9"/>
    <w:rsid w:val="00A73CE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C4C1A"/>
    <w:rPr>
      <w:rFonts w:asciiTheme="majorHAnsi" w:eastAsiaTheme="majorEastAsia" w:hAnsiTheme="majorHAnsi" w:cstheme="majorBidi"/>
      <w:b/>
      <w:bCs/>
      <w:sz w:val="26"/>
      <w:szCs w:val="26"/>
    </w:rPr>
  </w:style>
  <w:style w:type="paragraph" w:customStyle="1" w:styleId="Abstract">
    <w:name w:val="Abstract"/>
    <w:basedOn w:val="BodyText"/>
    <w:rsid w:val="00CD2F41"/>
  </w:style>
  <w:style w:type="paragraph" w:styleId="BodyText">
    <w:name w:val="Body Text"/>
    <w:basedOn w:val="Normal"/>
    <w:link w:val="BodyTextChar"/>
    <w:uiPriority w:val="1"/>
    <w:qFormat/>
    <w:rsid w:val="00CD2F41"/>
    <w:pPr>
      <w:spacing w:after="120"/>
    </w:pPr>
  </w:style>
  <w:style w:type="character" w:customStyle="1" w:styleId="BodyTextChar">
    <w:name w:val="Body Text Char"/>
    <w:basedOn w:val="DefaultParagraphFont"/>
    <w:link w:val="BodyText"/>
    <w:rsid w:val="00CD2F41"/>
    <w:rPr>
      <w:sz w:val="24"/>
      <w:lang w:val="en-US"/>
    </w:rPr>
  </w:style>
  <w:style w:type="paragraph" w:styleId="BodyText2">
    <w:name w:val="Body Text 2"/>
    <w:basedOn w:val="Normal"/>
    <w:link w:val="BodyText2Char"/>
    <w:uiPriority w:val="3"/>
    <w:rsid w:val="00CD2F41"/>
    <w:pPr>
      <w:spacing w:after="120" w:line="480" w:lineRule="auto"/>
    </w:pPr>
    <w:rPr>
      <w:rFonts w:ascii="Times New Roman" w:eastAsia="Times New Roman" w:hAnsi="Times New Roman" w:cs="Times New Roman"/>
      <w:sz w:val="22"/>
      <w:szCs w:val="24"/>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eastAsia="Times New Roman" w:hAnsi="Times New Roman" w:cs="Times New Roman"/>
      <w:b/>
      <w:bCs/>
      <w:sz w:val="22"/>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eastAsia="Times New Roman" w:hAnsi="Times New Roman" w:cs="Times New Roman"/>
      <w:i/>
      <w:sz w:val="18"/>
      <w:szCs w:val="24"/>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eastAsia="Times New Roman" w:hAnsi="Times New Roman" w:cs="Times New Roman"/>
      <w:i/>
      <w:sz w:val="18"/>
      <w:szCs w:val="24"/>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eastAsia="Times New Roman" w:hAnsi="Times New Roman" w:cs="Times New Roman"/>
      <w:sz w:val="22"/>
      <w:szCs w:val="24"/>
      <w:lang w:eastAsia="en-GB"/>
    </w:rPr>
  </w:style>
  <w:style w:type="paragraph" w:styleId="Bibliography">
    <w:name w:val="Bibliography"/>
    <w:basedOn w:val="Normal"/>
    <w:rsid w:val="00CD2F41"/>
    <w:pPr>
      <w:ind w:left="482" w:hanging="482"/>
    </w:pPr>
    <w:rPr>
      <w:rFonts w:ascii="Times New Roman" w:eastAsia="Times New Roman" w:hAnsi="Times New Roman" w:cs="Times New Roman"/>
      <w:szCs w:val="24"/>
    </w:rPr>
  </w:style>
  <w:style w:type="paragraph" w:customStyle="1" w:styleId="Note">
    <w:name w:val="Note"/>
    <w:basedOn w:val="Normal"/>
    <w:rsid w:val="00CD2F41"/>
    <w:pPr>
      <w:widowControl w:val="0"/>
    </w:pPr>
    <w:rPr>
      <w:rFonts w:ascii="Times New Roman" w:eastAsia="PMingLiU" w:hAnsi="Times New Roman" w:cs="Times New Roman"/>
      <w:i/>
      <w:kern w:val="2"/>
      <w:sz w:val="18"/>
      <w:szCs w:val="24"/>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eastAsia="Times New Roman" w:hAnsi="Calibri" w:cs="Times New Roman"/>
    </w:rPr>
  </w:style>
  <w:style w:type="character" w:customStyle="1" w:styleId="Heading3Char">
    <w:name w:val="Heading 3 Char"/>
    <w:basedOn w:val="DefaultParagraphFont"/>
    <w:link w:val="Heading3"/>
    <w:uiPriority w:val="9"/>
    <w:rsid w:val="00BA5A94"/>
    <w:rPr>
      <w:rFonts w:eastAsiaTheme="majorEastAsia" w:cstheme="majorBidi"/>
      <w:bCs/>
      <w:sz w:val="24"/>
    </w:rPr>
  </w:style>
  <w:style w:type="character" w:customStyle="1" w:styleId="Heading4Char">
    <w:name w:val="Heading 4 Char"/>
    <w:basedOn w:val="DefaultParagraphFont"/>
    <w:link w:val="Heading4"/>
    <w:uiPriority w:val="9"/>
    <w:rsid w:val="00BA5A94"/>
    <w:rPr>
      <w:rFonts w:eastAsiaTheme="majorEastAsia" w:cstheme="majorBidi"/>
      <w:bCs/>
      <w:iCs/>
      <w:sz w:val="24"/>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rPr>
  </w:style>
  <w:style w:type="paragraph" w:customStyle="1" w:styleId="Response">
    <w:name w:val="Response"/>
    <w:basedOn w:val="BodyText"/>
    <w:link w:val="ResponseChar"/>
    <w:rsid w:val="00CD2F41"/>
    <w:pPr>
      <w:spacing w:after="240"/>
      <w:ind w:left="720" w:firstLine="720"/>
      <w:jc w:val="both"/>
    </w:pPr>
    <w:rPr>
      <w:rFonts w:eastAsia="PMingLiU" w:cs="Times New Roman"/>
      <w:szCs w:val="24"/>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cs="Times New Roman"/>
      <w:b/>
      <w:szCs w:val="24"/>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iPriority w:val="99"/>
    <w:unhideWhenUsed/>
    <w:rsid w:val="00F648E5"/>
    <w:rPr>
      <w:color w:val="0000FF" w:themeColor="hyperlink"/>
      <w:u w:val="single"/>
    </w:rPr>
  </w:style>
  <w:style w:type="paragraph" w:styleId="ListParagraph">
    <w:name w:val="List Paragraph"/>
    <w:basedOn w:val="Normal"/>
    <w:uiPriority w:val="1"/>
    <w:qFormat/>
    <w:rsid w:val="006C2394"/>
    <w:pPr>
      <w:ind w:left="720"/>
      <w:contextualSpacing/>
    </w:pPr>
  </w:style>
  <w:style w:type="paragraph" w:customStyle="1" w:styleId="TableParagraph">
    <w:name w:val="Table Paragraph"/>
    <w:basedOn w:val="Normal"/>
    <w:uiPriority w:val="1"/>
    <w:qFormat/>
    <w:rsid w:val="002E389A"/>
    <w:pPr>
      <w:widowControl w:val="0"/>
    </w:pPr>
    <w:rPr>
      <w:sz w:val="22"/>
    </w:rPr>
  </w:style>
  <w:style w:type="paragraph" w:styleId="BalloonText">
    <w:name w:val="Balloon Text"/>
    <w:basedOn w:val="Normal"/>
    <w:link w:val="BalloonTextChar"/>
    <w:uiPriority w:val="99"/>
    <w:semiHidden/>
    <w:unhideWhenUsed/>
    <w:rsid w:val="00B22B16"/>
    <w:rPr>
      <w:rFonts w:ascii="Tahoma" w:hAnsi="Tahoma" w:cs="Tahoma"/>
      <w:sz w:val="16"/>
      <w:szCs w:val="16"/>
    </w:rPr>
  </w:style>
  <w:style w:type="character" w:customStyle="1" w:styleId="BalloonTextChar">
    <w:name w:val="Balloon Text Char"/>
    <w:basedOn w:val="DefaultParagraphFont"/>
    <w:link w:val="BalloonText"/>
    <w:uiPriority w:val="99"/>
    <w:semiHidden/>
    <w:rsid w:val="00B22B16"/>
    <w:rPr>
      <w:rFonts w:ascii="Tahoma" w:hAnsi="Tahoma" w:cs="Tahoma"/>
      <w:sz w:val="16"/>
      <w:szCs w:val="16"/>
      <w:lang w:val="en-US"/>
    </w:rPr>
  </w:style>
  <w:style w:type="character" w:styleId="CommentReference">
    <w:name w:val="annotation reference"/>
    <w:basedOn w:val="DefaultParagraphFont"/>
    <w:uiPriority w:val="99"/>
    <w:semiHidden/>
    <w:unhideWhenUsed/>
    <w:rsid w:val="00DF6114"/>
    <w:rPr>
      <w:sz w:val="16"/>
      <w:szCs w:val="16"/>
    </w:rPr>
  </w:style>
  <w:style w:type="paragraph" w:styleId="CommentText">
    <w:name w:val="annotation text"/>
    <w:basedOn w:val="Normal"/>
    <w:link w:val="CommentTextChar"/>
    <w:uiPriority w:val="99"/>
    <w:semiHidden/>
    <w:unhideWhenUsed/>
    <w:rsid w:val="00DF6114"/>
    <w:rPr>
      <w:sz w:val="20"/>
      <w:szCs w:val="20"/>
    </w:rPr>
  </w:style>
  <w:style w:type="character" w:customStyle="1" w:styleId="CommentTextChar">
    <w:name w:val="Comment Text Char"/>
    <w:basedOn w:val="DefaultParagraphFont"/>
    <w:link w:val="CommentText"/>
    <w:uiPriority w:val="99"/>
    <w:semiHidden/>
    <w:rsid w:val="00DF6114"/>
    <w:rPr>
      <w:sz w:val="20"/>
      <w:szCs w:val="20"/>
    </w:rPr>
  </w:style>
  <w:style w:type="paragraph" w:styleId="CommentSubject">
    <w:name w:val="annotation subject"/>
    <w:basedOn w:val="CommentText"/>
    <w:next w:val="CommentText"/>
    <w:link w:val="CommentSubjectChar"/>
    <w:uiPriority w:val="99"/>
    <w:semiHidden/>
    <w:unhideWhenUsed/>
    <w:rsid w:val="00DF6114"/>
    <w:rPr>
      <w:b/>
      <w:bCs/>
    </w:rPr>
  </w:style>
  <w:style w:type="character" w:customStyle="1" w:styleId="CommentSubjectChar">
    <w:name w:val="Comment Subject Char"/>
    <w:basedOn w:val="CommentTextChar"/>
    <w:link w:val="CommentSubject"/>
    <w:uiPriority w:val="99"/>
    <w:semiHidden/>
    <w:rsid w:val="00DF61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51373">
      <w:bodyDiv w:val="1"/>
      <w:marLeft w:val="0"/>
      <w:marRight w:val="0"/>
      <w:marTop w:val="0"/>
      <w:marBottom w:val="0"/>
      <w:divBdr>
        <w:top w:val="none" w:sz="0" w:space="0" w:color="auto"/>
        <w:left w:val="none" w:sz="0" w:space="0" w:color="auto"/>
        <w:bottom w:val="none" w:sz="0" w:space="0" w:color="auto"/>
        <w:right w:val="none" w:sz="0" w:space="0" w:color="auto"/>
      </w:divBdr>
    </w:div>
    <w:div w:id="19712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D990-CA38-408E-B662-C982A567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1802</Words>
  <Characters>10278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Sinkovics</dc:creator>
  <cp:lastModifiedBy>Ruth Rawling</cp:lastModifiedBy>
  <cp:revision>2</cp:revision>
  <cp:lastPrinted>2016-09-23T08:24:00Z</cp:lastPrinted>
  <dcterms:created xsi:type="dcterms:W3CDTF">2016-10-14T09:38:00Z</dcterms:created>
  <dcterms:modified xsi:type="dcterms:W3CDTF">2016-10-14T09:38:00Z</dcterms:modified>
</cp:coreProperties>
</file>