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221" w:rsidRPr="00231ADB" w:rsidRDefault="00D67221" w:rsidP="00D67221">
      <w:pPr>
        <w:rPr>
          <w:u w:val="single"/>
        </w:rPr>
      </w:pPr>
      <w:proofErr w:type="spellStart"/>
      <w:r w:rsidRPr="00231ADB">
        <w:rPr>
          <w:b/>
          <w:u w:val="single"/>
        </w:rPr>
        <w:t>UoA</w:t>
      </w:r>
      <w:proofErr w:type="spellEnd"/>
      <w:r w:rsidRPr="00231ADB">
        <w:rPr>
          <w:b/>
          <w:u w:val="single"/>
        </w:rPr>
        <w:t xml:space="preserve"> 4 – Psychology, Psychiatry and Neuroscience</w:t>
      </w:r>
    </w:p>
    <w:p w:rsidR="00D67221" w:rsidRDefault="00D67221" w:rsidP="00D67221">
      <w:r>
        <w:t>REF2014 Research Activity Profile with national weighted average in brackets:</w:t>
      </w:r>
    </w:p>
    <w:p w:rsidR="00D67221" w:rsidRDefault="00D67221" w:rsidP="00D67221">
      <w:r w:rsidRPr="007F03B7">
        <w:rPr>
          <w:noProof/>
          <w:lang w:eastAsia="en-GB"/>
        </w:rPr>
        <w:drawing>
          <wp:inline distT="0" distB="0" distL="0" distR="0" wp14:anchorId="107AB9A3" wp14:editId="4F306DAB">
            <wp:extent cx="5731510" cy="9921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992150"/>
                    </a:xfrm>
                    <a:prstGeom prst="rect">
                      <a:avLst/>
                    </a:prstGeom>
                    <a:noFill/>
                    <a:ln>
                      <a:noFill/>
                    </a:ln>
                  </pic:spPr>
                </pic:pic>
              </a:graphicData>
            </a:graphic>
          </wp:inline>
        </w:drawing>
      </w:r>
    </w:p>
    <w:p w:rsidR="00D67221" w:rsidRDefault="00D67221" w:rsidP="00D67221">
      <w:pPr>
        <w:spacing w:after="0" w:line="240" w:lineRule="auto"/>
        <w:rPr>
          <w:rFonts w:ascii="Calibri" w:eastAsia="Times New Roman" w:hAnsi="Calibri" w:cs="Calibri"/>
          <w:color w:val="000000"/>
          <w:lang w:eastAsia="en-GB"/>
        </w:rPr>
      </w:pPr>
      <w:r w:rsidRPr="00E743FB">
        <w:rPr>
          <w:rFonts w:ascii="Calibri" w:eastAsia="Times New Roman" w:hAnsi="Calibri" w:cs="Calibri"/>
          <w:color w:val="000000"/>
          <w:lang w:eastAsia="en-GB"/>
        </w:rPr>
        <w:t xml:space="preserve">REFPE </w:t>
      </w:r>
      <w:r>
        <w:rPr>
          <w:rFonts w:ascii="Calibri" w:eastAsia="Times New Roman" w:hAnsi="Calibri" w:cs="Calibri"/>
          <w:color w:val="000000"/>
          <w:lang w:eastAsia="en-GB"/>
        </w:rPr>
        <w:t xml:space="preserve">output </w:t>
      </w:r>
      <w:r w:rsidRPr="00E743FB">
        <w:rPr>
          <w:rFonts w:ascii="Calibri" w:eastAsia="Times New Roman" w:hAnsi="Calibri" w:cs="Calibri"/>
          <w:color w:val="000000"/>
          <w:lang w:eastAsia="en-GB"/>
        </w:rPr>
        <w:t xml:space="preserve">scores compared to actual REF2014 </w:t>
      </w:r>
      <w:r>
        <w:rPr>
          <w:rFonts w:ascii="Calibri" w:eastAsia="Times New Roman" w:hAnsi="Calibri" w:cs="Calibri"/>
          <w:color w:val="000000"/>
          <w:lang w:eastAsia="en-GB"/>
        </w:rPr>
        <w:t xml:space="preserve">output </w:t>
      </w:r>
      <w:r w:rsidRPr="00E743FB">
        <w:rPr>
          <w:rFonts w:ascii="Calibri" w:eastAsia="Times New Roman" w:hAnsi="Calibri" w:cs="Calibri"/>
          <w:color w:val="000000"/>
          <w:lang w:eastAsia="en-GB"/>
        </w:rPr>
        <w:t>scores obtained</w:t>
      </w:r>
      <w:r>
        <w:rPr>
          <w:rFonts w:ascii="Calibri" w:eastAsia="Times New Roman" w:hAnsi="Calibri" w:cs="Calibri"/>
          <w:color w:val="000000"/>
          <w:lang w:eastAsia="en-GB"/>
        </w:rPr>
        <w:t>:</w:t>
      </w:r>
    </w:p>
    <w:p w:rsidR="00D67221" w:rsidRDefault="00D67221" w:rsidP="00D67221">
      <w:pPr>
        <w:spacing w:after="0" w:line="240" w:lineRule="auto"/>
        <w:rPr>
          <w:rFonts w:ascii="Calibri" w:eastAsia="Times New Roman" w:hAnsi="Calibri" w:cs="Calibri"/>
          <w:color w:val="000000"/>
          <w:lang w:eastAsia="en-GB"/>
        </w:rPr>
      </w:pPr>
    </w:p>
    <w:tbl>
      <w:tblPr>
        <w:tblW w:w="6080" w:type="dxa"/>
        <w:tblInd w:w="108" w:type="dxa"/>
        <w:tblLook w:val="04A0" w:firstRow="1" w:lastRow="0" w:firstColumn="1" w:lastColumn="0" w:noHBand="0" w:noVBand="1"/>
      </w:tblPr>
      <w:tblGrid>
        <w:gridCol w:w="960"/>
        <w:gridCol w:w="960"/>
        <w:gridCol w:w="1100"/>
        <w:gridCol w:w="1300"/>
        <w:gridCol w:w="1760"/>
      </w:tblGrid>
      <w:tr w:rsidR="00D67221" w:rsidRPr="00E743FB" w:rsidTr="00D67221">
        <w:trPr>
          <w:trHeight w:val="315"/>
        </w:trPr>
        <w:tc>
          <w:tcPr>
            <w:tcW w:w="960" w:type="dxa"/>
            <w:tcBorders>
              <w:top w:val="single" w:sz="8" w:space="0" w:color="auto"/>
              <w:left w:val="single" w:sz="8" w:space="0" w:color="auto"/>
              <w:bottom w:val="single" w:sz="8" w:space="0" w:color="auto"/>
              <w:right w:val="single" w:sz="8" w:space="0" w:color="auto"/>
            </w:tcBorders>
            <w:shd w:val="clear" w:color="4F81BD" w:fill="4F81BD"/>
            <w:vAlign w:val="center"/>
            <w:hideMark/>
          </w:tcPr>
          <w:p w:rsidR="00D67221" w:rsidRPr="00E743FB" w:rsidRDefault="00D67221" w:rsidP="00D74907">
            <w:pPr>
              <w:spacing w:after="0" w:line="240" w:lineRule="auto"/>
              <w:rPr>
                <w:rFonts w:ascii="Calibri" w:eastAsia="Times New Roman" w:hAnsi="Calibri" w:cs="Calibri"/>
                <w:b/>
                <w:bCs/>
                <w:color w:val="000000"/>
                <w:lang w:eastAsia="en-GB"/>
              </w:rPr>
            </w:pPr>
            <w:proofErr w:type="spellStart"/>
            <w:r w:rsidRPr="00E743FB">
              <w:rPr>
                <w:rFonts w:ascii="Calibri" w:eastAsia="Times New Roman" w:hAnsi="Calibri" w:cs="Calibri"/>
                <w:b/>
                <w:bCs/>
                <w:color w:val="000000"/>
                <w:lang w:eastAsia="en-GB"/>
              </w:rPr>
              <w:t>UoA</w:t>
            </w:r>
            <w:proofErr w:type="spellEnd"/>
          </w:p>
        </w:tc>
        <w:tc>
          <w:tcPr>
            <w:tcW w:w="960" w:type="dxa"/>
            <w:tcBorders>
              <w:top w:val="single" w:sz="8" w:space="0" w:color="auto"/>
              <w:left w:val="nil"/>
              <w:bottom w:val="single" w:sz="8" w:space="0" w:color="auto"/>
              <w:right w:val="single" w:sz="8" w:space="0" w:color="auto"/>
            </w:tcBorders>
            <w:shd w:val="clear" w:color="4F81BD" w:fill="4F81BD"/>
            <w:vAlign w:val="center"/>
            <w:hideMark/>
          </w:tcPr>
          <w:p w:rsidR="00D67221" w:rsidRPr="00E743FB" w:rsidRDefault="00D67221" w:rsidP="00D74907">
            <w:pPr>
              <w:spacing w:after="0" w:line="240" w:lineRule="auto"/>
              <w:rPr>
                <w:rFonts w:ascii="Calibri" w:eastAsia="Times New Roman" w:hAnsi="Calibri" w:cs="Calibri"/>
                <w:b/>
                <w:bCs/>
                <w:color w:val="000000"/>
                <w:lang w:eastAsia="en-GB"/>
              </w:rPr>
            </w:pPr>
            <w:r w:rsidRPr="00E743FB">
              <w:rPr>
                <w:rFonts w:ascii="Calibri" w:eastAsia="Times New Roman" w:hAnsi="Calibri" w:cs="Calibri"/>
                <w:b/>
                <w:bCs/>
                <w:color w:val="000000"/>
                <w:lang w:eastAsia="en-GB"/>
              </w:rPr>
              <w:t>Grade</w:t>
            </w:r>
          </w:p>
        </w:tc>
        <w:tc>
          <w:tcPr>
            <w:tcW w:w="1100" w:type="dxa"/>
            <w:tcBorders>
              <w:top w:val="single" w:sz="8" w:space="0" w:color="auto"/>
              <w:left w:val="nil"/>
              <w:bottom w:val="single" w:sz="8" w:space="0" w:color="auto"/>
              <w:right w:val="single" w:sz="8" w:space="0" w:color="auto"/>
            </w:tcBorders>
            <w:shd w:val="clear" w:color="4F81BD" w:fill="4F81BD"/>
            <w:vAlign w:val="center"/>
            <w:hideMark/>
          </w:tcPr>
          <w:p w:rsidR="00D67221" w:rsidRPr="00E743FB" w:rsidRDefault="00D67221" w:rsidP="00D74907">
            <w:pPr>
              <w:spacing w:after="0" w:line="240" w:lineRule="auto"/>
              <w:rPr>
                <w:rFonts w:ascii="Calibri" w:eastAsia="Times New Roman" w:hAnsi="Calibri" w:cs="Calibri"/>
                <w:b/>
                <w:bCs/>
                <w:color w:val="000000"/>
                <w:lang w:eastAsia="en-GB"/>
              </w:rPr>
            </w:pPr>
            <w:r w:rsidRPr="00E743FB">
              <w:rPr>
                <w:rFonts w:ascii="Calibri" w:eastAsia="Times New Roman" w:hAnsi="Calibri" w:cs="Calibri"/>
                <w:b/>
                <w:bCs/>
                <w:color w:val="000000"/>
                <w:lang w:eastAsia="en-GB"/>
              </w:rPr>
              <w:t>REFPE %</w:t>
            </w:r>
          </w:p>
        </w:tc>
        <w:tc>
          <w:tcPr>
            <w:tcW w:w="1300" w:type="dxa"/>
            <w:tcBorders>
              <w:top w:val="single" w:sz="8" w:space="0" w:color="auto"/>
              <w:left w:val="nil"/>
              <w:bottom w:val="single" w:sz="8" w:space="0" w:color="auto"/>
              <w:right w:val="single" w:sz="8" w:space="0" w:color="auto"/>
            </w:tcBorders>
            <w:shd w:val="clear" w:color="4F81BD" w:fill="4F81BD"/>
            <w:vAlign w:val="center"/>
            <w:hideMark/>
          </w:tcPr>
          <w:p w:rsidR="00D67221" w:rsidRPr="00E743FB" w:rsidRDefault="00D67221" w:rsidP="00D74907">
            <w:pPr>
              <w:spacing w:after="0" w:line="240" w:lineRule="auto"/>
              <w:rPr>
                <w:rFonts w:ascii="Calibri" w:eastAsia="Times New Roman" w:hAnsi="Calibri" w:cs="Calibri"/>
                <w:b/>
                <w:bCs/>
                <w:color w:val="000000"/>
                <w:lang w:eastAsia="en-GB"/>
              </w:rPr>
            </w:pPr>
            <w:r w:rsidRPr="00E743FB">
              <w:rPr>
                <w:rFonts w:ascii="Calibri" w:eastAsia="Times New Roman" w:hAnsi="Calibri" w:cs="Calibri"/>
                <w:b/>
                <w:bCs/>
                <w:color w:val="000000"/>
                <w:lang w:eastAsia="en-GB"/>
              </w:rPr>
              <w:t>REF2014 %</w:t>
            </w:r>
          </w:p>
        </w:tc>
        <w:tc>
          <w:tcPr>
            <w:tcW w:w="1760" w:type="dxa"/>
            <w:tcBorders>
              <w:top w:val="single" w:sz="8" w:space="0" w:color="auto"/>
              <w:left w:val="nil"/>
              <w:bottom w:val="single" w:sz="8" w:space="0" w:color="auto"/>
              <w:right w:val="single" w:sz="8" w:space="0" w:color="auto"/>
            </w:tcBorders>
            <w:shd w:val="clear" w:color="4F81BD" w:fill="4F81BD"/>
            <w:noWrap/>
            <w:vAlign w:val="center"/>
            <w:hideMark/>
          </w:tcPr>
          <w:p w:rsidR="00D67221" w:rsidRPr="00E743FB" w:rsidRDefault="00D67221" w:rsidP="00D74907">
            <w:pPr>
              <w:spacing w:after="0" w:line="240" w:lineRule="auto"/>
              <w:jc w:val="center"/>
              <w:rPr>
                <w:rFonts w:ascii="Calibri" w:eastAsia="Times New Roman" w:hAnsi="Calibri" w:cs="Calibri"/>
                <w:b/>
                <w:bCs/>
                <w:color w:val="000000"/>
                <w:lang w:eastAsia="en-GB"/>
              </w:rPr>
            </w:pPr>
            <w:r w:rsidRPr="00E743FB">
              <w:rPr>
                <w:rFonts w:ascii="Calibri" w:eastAsia="Times New Roman" w:hAnsi="Calibri" w:cs="Calibri"/>
                <w:b/>
                <w:bCs/>
                <w:color w:val="000000"/>
                <w:lang w:eastAsia="en-GB"/>
              </w:rPr>
              <w:t>Percentage diff</w:t>
            </w:r>
          </w:p>
        </w:tc>
      </w:tr>
      <w:tr w:rsidR="00D67221" w:rsidRPr="00E743FB" w:rsidTr="00D67221">
        <w:trPr>
          <w:trHeight w:val="300"/>
        </w:trPr>
        <w:tc>
          <w:tcPr>
            <w:tcW w:w="960" w:type="dxa"/>
            <w:tcBorders>
              <w:top w:val="single" w:sz="8" w:space="0" w:color="000000"/>
              <w:left w:val="single" w:sz="8" w:space="0" w:color="auto"/>
              <w:bottom w:val="single" w:sz="4" w:space="0" w:color="95B3D7"/>
              <w:right w:val="single" w:sz="8" w:space="0" w:color="auto"/>
            </w:tcBorders>
            <w:shd w:val="clear" w:color="DCE6F1" w:fill="DCE6F1"/>
            <w:vAlign w:val="center"/>
            <w:hideMark/>
          </w:tcPr>
          <w:p w:rsidR="00D67221" w:rsidRPr="00E743FB" w:rsidRDefault="00D67221" w:rsidP="00D74907">
            <w:pPr>
              <w:spacing w:after="0" w:line="240" w:lineRule="auto"/>
              <w:jc w:val="center"/>
              <w:rPr>
                <w:rFonts w:ascii="Calibri" w:eastAsia="Times New Roman" w:hAnsi="Calibri" w:cs="Calibri"/>
                <w:b/>
                <w:bCs/>
                <w:color w:val="000000"/>
                <w:lang w:eastAsia="en-GB"/>
              </w:rPr>
            </w:pPr>
            <w:r w:rsidRPr="00E743FB">
              <w:rPr>
                <w:rFonts w:ascii="Calibri" w:eastAsia="Times New Roman" w:hAnsi="Calibri" w:cs="Calibri"/>
                <w:b/>
                <w:bCs/>
                <w:color w:val="000000"/>
                <w:lang w:eastAsia="en-GB"/>
              </w:rPr>
              <w:t>4</w:t>
            </w:r>
          </w:p>
        </w:tc>
        <w:tc>
          <w:tcPr>
            <w:tcW w:w="960" w:type="dxa"/>
            <w:tcBorders>
              <w:top w:val="single" w:sz="4" w:space="0" w:color="95B3D7"/>
              <w:left w:val="nil"/>
              <w:bottom w:val="single" w:sz="4" w:space="0" w:color="95B3D7"/>
              <w:right w:val="single" w:sz="8" w:space="0" w:color="auto"/>
            </w:tcBorders>
            <w:shd w:val="clear" w:color="DCE6F1" w:fill="DCE6F1"/>
            <w:vAlign w:val="center"/>
            <w:hideMark/>
          </w:tcPr>
          <w:p w:rsidR="00D67221" w:rsidRPr="00E743FB" w:rsidRDefault="00D67221" w:rsidP="00D74907">
            <w:pPr>
              <w:spacing w:after="0" w:line="240" w:lineRule="auto"/>
              <w:jc w:val="center"/>
              <w:rPr>
                <w:rFonts w:ascii="Calibri" w:eastAsia="Times New Roman" w:hAnsi="Calibri" w:cs="Calibri"/>
                <w:b/>
                <w:bCs/>
                <w:color w:val="000000"/>
                <w:lang w:eastAsia="en-GB"/>
              </w:rPr>
            </w:pPr>
            <w:r w:rsidRPr="00E743FB">
              <w:rPr>
                <w:rFonts w:ascii="Calibri" w:eastAsia="Times New Roman" w:hAnsi="Calibri" w:cs="Calibri"/>
                <w:b/>
                <w:bCs/>
                <w:color w:val="000000"/>
                <w:lang w:eastAsia="en-GB"/>
              </w:rPr>
              <w:t>4*</w:t>
            </w:r>
          </w:p>
        </w:tc>
        <w:tc>
          <w:tcPr>
            <w:tcW w:w="1100" w:type="dxa"/>
            <w:tcBorders>
              <w:top w:val="single" w:sz="4" w:space="0" w:color="95B3D7"/>
              <w:left w:val="nil"/>
              <w:bottom w:val="single" w:sz="4" w:space="0" w:color="95B3D7"/>
              <w:right w:val="single" w:sz="8" w:space="0" w:color="auto"/>
            </w:tcBorders>
            <w:shd w:val="clear" w:color="DCE6F1" w:fill="DCE6F1"/>
            <w:vAlign w:val="center"/>
            <w:hideMark/>
          </w:tcPr>
          <w:p w:rsidR="00D67221" w:rsidRPr="00E743FB" w:rsidRDefault="00D67221" w:rsidP="00D74907">
            <w:pPr>
              <w:spacing w:after="0" w:line="240" w:lineRule="auto"/>
              <w:jc w:val="right"/>
              <w:rPr>
                <w:rFonts w:ascii="Calibri" w:eastAsia="Times New Roman" w:hAnsi="Calibri" w:cs="Calibri"/>
                <w:color w:val="000000"/>
                <w:lang w:eastAsia="en-GB"/>
              </w:rPr>
            </w:pPr>
            <w:r w:rsidRPr="00E743FB">
              <w:rPr>
                <w:rFonts w:ascii="Calibri" w:eastAsia="Times New Roman" w:hAnsi="Calibri" w:cs="Calibri"/>
                <w:color w:val="000000"/>
                <w:lang w:eastAsia="en-GB"/>
              </w:rPr>
              <w:t>27.3</w:t>
            </w:r>
          </w:p>
        </w:tc>
        <w:tc>
          <w:tcPr>
            <w:tcW w:w="1300" w:type="dxa"/>
            <w:tcBorders>
              <w:top w:val="single" w:sz="4" w:space="0" w:color="95B3D7"/>
              <w:left w:val="nil"/>
              <w:bottom w:val="single" w:sz="4" w:space="0" w:color="95B3D7"/>
              <w:right w:val="single" w:sz="8" w:space="0" w:color="auto"/>
            </w:tcBorders>
            <w:shd w:val="clear" w:color="DCE6F1" w:fill="DCE6F1"/>
            <w:vAlign w:val="center"/>
            <w:hideMark/>
          </w:tcPr>
          <w:p w:rsidR="00D67221" w:rsidRPr="00E743FB" w:rsidRDefault="00D67221" w:rsidP="00D74907">
            <w:pPr>
              <w:spacing w:after="0" w:line="240" w:lineRule="auto"/>
              <w:jc w:val="right"/>
              <w:rPr>
                <w:rFonts w:ascii="Calibri" w:eastAsia="Times New Roman" w:hAnsi="Calibri" w:cs="Calibri"/>
                <w:color w:val="000000"/>
                <w:lang w:eastAsia="en-GB"/>
              </w:rPr>
            </w:pPr>
            <w:r w:rsidRPr="00E743FB">
              <w:rPr>
                <w:rFonts w:ascii="Calibri" w:eastAsia="Times New Roman" w:hAnsi="Calibri" w:cs="Calibri"/>
                <w:color w:val="000000"/>
                <w:lang w:eastAsia="en-GB"/>
              </w:rPr>
              <w:t>23.6</w:t>
            </w:r>
          </w:p>
        </w:tc>
        <w:tc>
          <w:tcPr>
            <w:tcW w:w="1760" w:type="dxa"/>
            <w:tcBorders>
              <w:top w:val="single" w:sz="4" w:space="0" w:color="95B3D7"/>
              <w:left w:val="nil"/>
              <w:bottom w:val="single" w:sz="4" w:space="0" w:color="95B3D7"/>
              <w:right w:val="single" w:sz="8" w:space="0" w:color="auto"/>
            </w:tcBorders>
            <w:shd w:val="clear" w:color="DCE6F1" w:fill="DCE6F1"/>
            <w:noWrap/>
            <w:vAlign w:val="center"/>
            <w:hideMark/>
          </w:tcPr>
          <w:p w:rsidR="00D67221" w:rsidRPr="00E743FB" w:rsidRDefault="00D67221" w:rsidP="00D74907">
            <w:pPr>
              <w:spacing w:after="0" w:line="240" w:lineRule="auto"/>
              <w:jc w:val="right"/>
              <w:rPr>
                <w:rFonts w:ascii="Calibri" w:eastAsia="Times New Roman" w:hAnsi="Calibri" w:cs="Calibri"/>
                <w:color w:val="FF0000"/>
                <w:lang w:eastAsia="en-GB"/>
              </w:rPr>
            </w:pPr>
            <w:r w:rsidRPr="00E743FB">
              <w:rPr>
                <w:rFonts w:ascii="Calibri" w:eastAsia="Times New Roman" w:hAnsi="Calibri" w:cs="Calibri"/>
                <w:color w:val="FF0000"/>
                <w:lang w:eastAsia="en-GB"/>
              </w:rPr>
              <w:t>-3.7</w:t>
            </w:r>
          </w:p>
        </w:tc>
      </w:tr>
      <w:tr w:rsidR="00D67221" w:rsidRPr="00E743FB" w:rsidTr="00D67221">
        <w:trPr>
          <w:trHeight w:val="300"/>
        </w:trPr>
        <w:tc>
          <w:tcPr>
            <w:tcW w:w="960" w:type="dxa"/>
            <w:tcBorders>
              <w:top w:val="single" w:sz="4" w:space="0" w:color="95B3D7"/>
              <w:left w:val="single" w:sz="8" w:space="0" w:color="auto"/>
              <w:bottom w:val="single" w:sz="4" w:space="0" w:color="95B3D7"/>
              <w:right w:val="single" w:sz="8" w:space="0" w:color="auto"/>
            </w:tcBorders>
            <w:shd w:val="clear" w:color="auto" w:fill="auto"/>
            <w:vAlign w:val="center"/>
            <w:hideMark/>
          </w:tcPr>
          <w:p w:rsidR="00D67221" w:rsidRPr="00E743FB" w:rsidRDefault="00D67221" w:rsidP="00D74907">
            <w:pPr>
              <w:spacing w:after="0" w:line="240" w:lineRule="auto"/>
              <w:jc w:val="center"/>
              <w:rPr>
                <w:rFonts w:ascii="Calibri" w:eastAsia="Times New Roman" w:hAnsi="Calibri" w:cs="Calibri"/>
                <w:b/>
                <w:bCs/>
                <w:color w:val="000000"/>
                <w:lang w:eastAsia="en-GB"/>
              </w:rPr>
            </w:pPr>
            <w:r w:rsidRPr="00E743FB">
              <w:rPr>
                <w:rFonts w:ascii="Calibri" w:eastAsia="Times New Roman" w:hAnsi="Calibri" w:cs="Calibri"/>
                <w:b/>
                <w:bCs/>
                <w:color w:val="000000"/>
                <w:lang w:eastAsia="en-GB"/>
              </w:rPr>
              <w:t> </w:t>
            </w:r>
          </w:p>
        </w:tc>
        <w:tc>
          <w:tcPr>
            <w:tcW w:w="960" w:type="dxa"/>
            <w:tcBorders>
              <w:top w:val="single" w:sz="4" w:space="0" w:color="95B3D7"/>
              <w:left w:val="nil"/>
              <w:bottom w:val="single" w:sz="4" w:space="0" w:color="95B3D7"/>
              <w:right w:val="single" w:sz="8" w:space="0" w:color="auto"/>
            </w:tcBorders>
            <w:shd w:val="clear" w:color="auto" w:fill="auto"/>
            <w:vAlign w:val="center"/>
            <w:hideMark/>
          </w:tcPr>
          <w:p w:rsidR="00D67221" w:rsidRPr="00E743FB" w:rsidRDefault="00D67221" w:rsidP="00D74907">
            <w:pPr>
              <w:spacing w:after="0" w:line="240" w:lineRule="auto"/>
              <w:jc w:val="center"/>
              <w:rPr>
                <w:rFonts w:ascii="Calibri" w:eastAsia="Times New Roman" w:hAnsi="Calibri" w:cs="Calibri"/>
                <w:b/>
                <w:bCs/>
                <w:color w:val="000000"/>
                <w:lang w:eastAsia="en-GB"/>
              </w:rPr>
            </w:pPr>
            <w:r w:rsidRPr="00E743FB">
              <w:rPr>
                <w:rFonts w:ascii="Calibri" w:eastAsia="Times New Roman" w:hAnsi="Calibri" w:cs="Calibri"/>
                <w:b/>
                <w:bCs/>
                <w:color w:val="000000"/>
                <w:lang w:eastAsia="en-GB"/>
              </w:rPr>
              <w:t>3*</w:t>
            </w:r>
          </w:p>
        </w:tc>
        <w:tc>
          <w:tcPr>
            <w:tcW w:w="1100" w:type="dxa"/>
            <w:tcBorders>
              <w:top w:val="single" w:sz="4" w:space="0" w:color="95B3D7"/>
              <w:left w:val="nil"/>
              <w:bottom w:val="single" w:sz="4" w:space="0" w:color="95B3D7"/>
              <w:right w:val="single" w:sz="8" w:space="0" w:color="auto"/>
            </w:tcBorders>
            <w:shd w:val="clear" w:color="auto" w:fill="auto"/>
            <w:vAlign w:val="center"/>
            <w:hideMark/>
          </w:tcPr>
          <w:p w:rsidR="00D67221" w:rsidRPr="00E743FB" w:rsidRDefault="00D67221" w:rsidP="00D74907">
            <w:pPr>
              <w:spacing w:after="0" w:line="240" w:lineRule="auto"/>
              <w:jc w:val="right"/>
              <w:rPr>
                <w:rFonts w:ascii="Calibri" w:eastAsia="Times New Roman" w:hAnsi="Calibri" w:cs="Calibri"/>
                <w:color w:val="000000"/>
                <w:lang w:eastAsia="en-GB"/>
              </w:rPr>
            </w:pPr>
            <w:r w:rsidRPr="00E743FB">
              <w:rPr>
                <w:rFonts w:ascii="Calibri" w:eastAsia="Times New Roman" w:hAnsi="Calibri" w:cs="Calibri"/>
                <w:color w:val="000000"/>
                <w:lang w:eastAsia="en-GB"/>
              </w:rPr>
              <w:t>69.1</w:t>
            </w:r>
          </w:p>
        </w:tc>
        <w:tc>
          <w:tcPr>
            <w:tcW w:w="1300" w:type="dxa"/>
            <w:tcBorders>
              <w:top w:val="single" w:sz="4" w:space="0" w:color="95B3D7"/>
              <w:left w:val="nil"/>
              <w:bottom w:val="single" w:sz="4" w:space="0" w:color="95B3D7"/>
              <w:right w:val="single" w:sz="8" w:space="0" w:color="auto"/>
            </w:tcBorders>
            <w:shd w:val="clear" w:color="auto" w:fill="auto"/>
            <w:vAlign w:val="center"/>
            <w:hideMark/>
          </w:tcPr>
          <w:p w:rsidR="00D67221" w:rsidRPr="00E743FB" w:rsidRDefault="00D67221" w:rsidP="00D74907">
            <w:pPr>
              <w:spacing w:after="0" w:line="240" w:lineRule="auto"/>
              <w:jc w:val="right"/>
              <w:rPr>
                <w:rFonts w:ascii="Calibri" w:eastAsia="Times New Roman" w:hAnsi="Calibri" w:cs="Calibri"/>
                <w:color w:val="000000"/>
                <w:lang w:eastAsia="en-GB"/>
              </w:rPr>
            </w:pPr>
            <w:r w:rsidRPr="00E743FB">
              <w:rPr>
                <w:rFonts w:ascii="Calibri" w:eastAsia="Times New Roman" w:hAnsi="Calibri" w:cs="Calibri"/>
                <w:color w:val="000000"/>
                <w:lang w:eastAsia="en-GB"/>
              </w:rPr>
              <w:t>50.2</w:t>
            </w:r>
          </w:p>
        </w:tc>
        <w:tc>
          <w:tcPr>
            <w:tcW w:w="1760" w:type="dxa"/>
            <w:tcBorders>
              <w:top w:val="single" w:sz="4" w:space="0" w:color="95B3D7"/>
              <w:left w:val="nil"/>
              <w:bottom w:val="single" w:sz="4" w:space="0" w:color="95B3D7"/>
              <w:right w:val="single" w:sz="8" w:space="0" w:color="auto"/>
            </w:tcBorders>
            <w:shd w:val="clear" w:color="auto" w:fill="auto"/>
            <w:noWrap/>
            <w:vAlign w:val="center"/>
            <w:hideMark/>
          </w:tcPr>
          <w:p w:rsidR="00D67221" w:rsidRPr="00E743FB" w:rsidRDefault="00D67221" w:rsidP="00D74907">
            <w:pPr>
              <w:spacing w:after="0" w:line="240" w:lineRule="auto"/>
              <w:jc w:val="right"/>
              <w:rPr>
                <w:rFonts w:ascii="Calibri" w:eastAsia="Times New Roman" w:hAnsi="Calibri" w:cs="Calibri"/>
                <w:color w:val="FF0000"/>
                <w:lang w:eastAsia="en-GB"/>
              </w:rPr>
            </w:pPr>
            <w:r w:rsidRPr="00E743FB">
              <w:rPr>
                <w:rFonts w:ascii="Calibri" w:eastAsia="Times New Roman" w:hAnsi="Calibri" w:cs="Calibri"/>
                <w:color w:val="FF0000"/>
                <w:lang w:eastAsia="en-GB"/>
              </w:rPr>
              <w:t>-18.9</w:t>
            </w:r>
          </w:p>
        </w:tc>
      </w:tr>
      <w:tr w:rsidR="00D67221" w:rsidRPr="00E743FB" w:rsidTr="00D67221">
        <w:trPr>
          <w:trHeight w:val="300"/>
        </w:trPr>
        <w:tc>
          <w:tcPr>
            <w:tcW w:w="960" w:type="dxa"/>
            <w:tcBorders>
              <w:top w:val="single" w:sz="4" w:space="0" w:color="95B3D7"/>
              <w:left w:val="single" w:sz="8" w:space="0" w:color="auto"/>
              <w:bottom w:val="single" w:sz="4" w:space="0" w:color="95B3D7"/>
              <w:right w:val="single" w:sz="8" w:space="0" w:color="auto"/>
            </w:tcBorders>
            <w:shd w:val="clear" w:color="DCE6F1" w:fill="DCE6F1"/>
            <w:vAlign w:val="center"/>
            <w:hideMark/>
          </w:tcPr>
          <w:p w:rsidR="00D67221" w:rsidRPr="00E743FB" w:rsidRDefault="00D67221" w:rsidP="00D74907">
            <w:pPr>
              <w:spacing w:after="0" w:line="240" w:lineRule="auto"/>
              <w:jc w:val="center"/>
              <w:rPr>
                <w:rFonts w:ascii="Calibri" w:eastAsia="Times New Roman" w:hAnsi="Calibri" w:cs="Calibri"/>
                <w:b/>
                <w:bCs/>
                <w:color w:val="000000"/>
                <w:lang w:eastAsia="en-GB"/>
              </w:rPr>
            </w:pPr>
            <w:r w:rsidRPr="00E743FB">
              <w:rPr>
                <w:rFonts w:ascii="Calibri" w:eastAsia="Times New Roman" w:hAnsi="Calibri" w:cs="Calibri"/>
                <w:b/>
                <w:bCs/>
                <w:color w:val="000000"/>
                <w:lang w:eastAsia="en-GB"/>
              </w:rPr>
              <w:t> </w:t>
            </w:r>
          </w:p>
        </w:tc>
        <w:tc>
          <w:tcPr>
            <w:tcW w:w="960" w:type="dxa"/>
            <w:tcBorders>
              <w:top w:val="single" w:sz="4" w:space="0" w:color="95B3D7"/>
              <w:left w:val="nil"/>
              <w:bottom w:val="single" w:sz="4" w:space="0" w:color="95B3D7"/>
              <w:right w:val="single" w:sz="8" w:space="0" w:color="auto"/>
            </w:tcBorders>
            <w:shd w:val="clear" w:color="DCE6F1" w:fill="DCE6F1"/>
            <w:vAlign w:val="center"/>
            <w:hideMark/>
          </w:tcPr>
          <w:p w:rsidR="00D67221" w:rsidRPr="00E743FB" w:rsidRDefault="00D67221" w:rsidP="00D74907">
            <w:pPr>
              <w:spacing w:after="0" w:line="240" w:lineRule="auto"/>
              <w:jc w:val="center"/>
              <w:rPr>
                <w:rFonts w:ascii="Calibri" w:eastAsia="Times New Roman" w:hAnsi="Calibri" w:cs="Calibri"/>
                <w:b/>
                <w:bCs/>
                <w:color w:val="000000"/>
                <w:lang w:eastAsia="en-GB"/>
              </w:rPr>
            </w:pPr>
            <w:r w:rsidRPr="00E743FB">
              <w:rPr>
                <w:rFonts w:ascii="Calibri" w:eastAsia="Times New Roman" w:hAnsi="Calibri" w:cs="Calibri"/>
                <w:b/>
                <w:bCs/>
                <w:color w:val="000000"/>
                <w:lang w:eastAsia="en-GB"/>
              </w:rPr>
              <w:t>2*</w:t>
            </w:r>
          </w:p>
        </w:tc>
        <w:tc>
          <w:tcPr>
            <w:tcW w:w="1100" w:type="dxa"/>
            <w:tcBorders>
              <w:top w:val="single" w:sz="4" w:space="0" w:color="95B3D7"/>
              <w:left w:val="nil"/>
              <w:bottom w:val="single" w:sz="4" w:space="0" w:color="95B3D7"/>
              <w:right w:val="single" w:sz="8" w:space="0" w:color="auto"/>
            </w:tcBorders>
            <w:shd w:val="clear" w:color="DCE6F1" w:fill="DCE6F1"/>
            <w:vAlign w:val="center"/>
            <w:hideMark/>
          </w:tcPr>
          <w:p w:rsidR="00D67221" w:rsidRPr="00E743FB" w:rsidRDefault="00D67221" w:rsidP="00D74907">
            <w:pPr>
              <w:spacing w:after="0" w:line="240" w:lineRule="auto"/>
              <w:jc w:val="right"/>
              <w:rPr>
                <w:rFonts w:ascii="Calibri" w:eastAsia="Times New Roman" w:hAnsi="Calibri" w:cs="Calibri"/>
                <w:color w:val="000000"/>
                <w:lang w:eastAsia="en-GB"/>
              </w:rPr>
            </w:pPr>
            <w:r w:rsidRPr="00E743FB">
              <w:rPr>
                <w:rFonts w:ascii="Calibri" w:eastAsia="Times New Roman" w:hAnsi="Calibri" w:cs="Calibri"/>
                <w:color w:val="000000"/>
                <w:lang w:eastAsia="en-GB"/>
              </w:rPr>
              <w:t>3.6</w:t>
            </w:r>
          </w:p>
        </w:tc>
        <w:tc>
          <w:tcPr>
            <w:tcW w:w="1300" w:type="dxa"/>
            <w:tcBorders>
              <w:top w:val="single" w:sz="4" w:space="0" w:color="95B3D7"/>
              <w:left w:val="nil"/>
              <w:bottom w:val="single" w:sz="4" w:space="0" w:color="95B3D7"/>
              <w:right w:val="single" w:sz="8" w:space="0" w:color="auto"/>
            </w:tcBorders>
            <w:shd w:val="clear" w:color="DCE6F1" w:fill="DCE6F1"/>
            <w:vAlign w:val="center"/>
            <w:hideMark/>
          </w:tcPr>
          <w:p w:rsidR="00D67221" w:rsidRPr="00E743FB" w:rsidRDefault="00D67221" w:rsidP="00D74907">
            <w:pPr>
              <w:spacing w:after="0" w:line="240" w:lineRule="auto"/>
              <w:jc w:val="right"/>
              <w:rPr>
                <w:rFonts w:ascii="Calibri" w:eastAsia="Times New Roman" w:hAnsi="Calibri" w:cs="Calibri"/>
                <w:color w:val="000000"/>
                <w:lang w:eastAsia="en-GB"/>
              </w:rPr>
            </w:pPr>
            <w:r w:rsidRPr="00E743FB">
              <w:rPr>
                <w:rFonts w:ascii="Calibri" w:eastAsia="Times New Roman" w:hAnsi="Calibri" w:cs="Calibri"/>
                <w:color w:val="000000"/>
                <w:lang w:eastAsia="en-GB"/>
              </w:rPr>
              <w:t>23.7</w:t>
            </w:r>
          </w:p>
        </w:tc>
        <w:tc>
          <w:tcPr>
            <w:tcW w:w="1760" w:type="dxa"/>
            <w:tcBorders>
              <w:top w:val="single" w:sz="4" w:space="0" w:color="95B3D7"/>
              <w:left w:val="nil"/>
              <w:bottom w:val="single" w:sz="4" w:space="0" w:color="95B3D7"/>
              <w:right w:val="single" w:sz="8" w:space="0" w:color="auto"/>
            </w:tcBorders>
            <w:shd w:val="clear" w:color="DCE6F1" w:fill="DCE6F1"/>
            <w:noWrap/>
            <w:vAlign w:val="center"/>
            <w:hideMark/>
          </w:tcPr>
          <w:p w:rsidR="00D67221" w:rsidRPr="00E743FB" w:rsidRDefault="00D67221" w:rsidP="00D74907">
            <w:pPr>
              <w:spacing w:after="0" w:line="240" w:lineRule="auto"/>
              <w:jc w:val="right"/>
              <w:rPr>
                <w:rFonts w:ascii="Calibri" w:eastAsia="Times New Roman" w:hAnsi="Calibri" w:cs="Calibri"/>
                <w:color w:val="FF0000"/>
                <w:lang w:eastAsia="en-GB"/>
              </w:rPr>
            </w:pPr>
            <w:r w:rsidRPr="00E743FB">
              <w:rPr>
                <w:rFonts w:ascii="Calibri" w:eastAsia="Times New Roman" w:hAnsi="Calibri" w:cs="Calibri"/>
                <w:color w:val="FF0000"/>
                <w:lang w:eastAsia="en-GB"/>
              </w:rPr>
              <w:t>20.1</w:t>
            </w:r>
          </w:p>
        </w:tc>
      </w:tr>
      <w:tr w:rsidR="00D67221" w:rsidRPr="00E743FB" w:rsidTr="00D67221">
        <w:trPr>
          <w:trHeight w:val="300"/>
        </w:trPr>
        <w:tc>
          <w:tcPr>
            <w:tcW w:w="960" w:type="dxa"/>
            <w:tcBorders>
              <w:top w:val="single" w:sz="4" w:space="0" w:color="95B3D7"/>
              <w:left w:val="single" w:sz="8" w:space="0" w:color="auto"/>
              <w:bottom w:val="single" w:sz="4" w:space="0" w:color="95B3D7"/>
              <w:right w:val="single" w:sz="8" w:space="0" w:color="auto"/>
            </w:tcBorders>
            <w:shd w:val="clear" w:color="auto" w:fill="auto"/>
            <w:vAlign w:val="center"/>
            <w:hideMark/>
          </w:tcPr>
          <w:p w:rsidR="00D67221" w:rsidRPr="00E743FB" w:rsidRDefault="00D67221" w:rsidP="00D74907">
            <w:pPr>
              <w:spacing w:after="0" w:line="240" w:lineRule="auto"/>
              <w:jc w:val="center"/>
              <w:rPr>
                <w:rFonts w:ascii="Calibri" w:eastAsia="Times New Roman" w:hAnsi="Calibri" w:cs="Calibri"/>
                <w:b/>
                <w:bCs/>
                <w:color w:val="000000"/>
                <w:lang w:eastAsia="en-GB"/>
              </w:rPr>
            </w:pPr>
            <w:r w:rsidRPr="00E743FB">
              <w:rPr>
                <w:rFonts w:ascii="Calibri" w:eastAsia="Times New Roman" w:hAnsi="Calibri" w:cs="Calibri"/>
                <w:b/>
                <w:bCs/>
                <w:color w:val="000000"/>
                <w:lang w:eastAsia="en-GB"/>
              </w:rPr>
              <w:t> </w:t>
            </w:r>
          </w:p>
        </w:tc>
        <w:tc>
          <w:tcPr>
            <w:tcW w:w="960" w:type="dxa"/>
            <w:tcBorders>
              <w:top w:val="single" w:sz="4" w:space="0" w:color="95B3D7"/>
              <w:left w:val="nil"/>
              <w:bottom w:val="single" w:sz="4" w:space="0" w:color="95B3D7"/>
              <w:right w:val="single" w:sz="8" w:space="0" w:color="auto"/>
            </w:tcBorders>
            <w:shd w:val="clear" w:color="auto" w:fill="auto"/>
            <w:vAlign w:val="center"/>
            <w:hideMark/>
          </w:tcPr>
          <w:p w:rsidR="00D67221" w:rsidRPr="00E743FB" w:rsidRDefault="00D67221" w:rsidP="00D74907">
            <w:pPr>
              <w:spacing w:after="0" w:line="240" w:lineRule="auto"/>
              <w:jc w:val="center"/>
              <w:rPr>
                <w:rFonts w:ascii="Calibri" w:eastAsia="Times New Roman" w:hAnsi="Calibri" w:cs="Calibri"/>
                <w:b/>
                <w:bCs/>
                <w:color w:val="000000"/>
                <w:lang w:eastAsia="en-GB"/>
              </w:rPr>
            </w:pPr>
            <w:r w:rsidRPr="00E743FB">
              <w:rPr>
                <w:rFonts w:ascii="Calibri" w:eastAsia="Times New Roman" w:hAnsi="Calibri" w:cs="Calibri"/>
                <w:b/>
                <w:bCs/>
                <w:color w:val="000000"/>
                <w:lang w:eastAsia="en-GB"/>
              </w:rPr>
              <w:t>1*</w:t>
            </w:r>
          </w:p>
        </w:tc>
        <w:tc>
          <w:tcPr>
            <w:tcW w:w="1100" w:type="dxa"/>
            <w:tcBorders>
              <w:top w:val="single" w:sz="4" w:space="0" w:color="95B3D7"/>
              <w:left w:val="nil"/>
              <w:bottom w:val="single" w:sz="4" w:space="0" w:color="95B3D7"/>
              <w:right w:val="single" w:sz="8" w:space="0" w:color="auto"/>
            </w:tcBorders>
            <w:shd w:val="clear" w:color="auto" w:fill="auto"/>
            <w:vAlign w:val="center"/>
            <w:hideMark/>
          </w:tcPr>
          <w:p w:rsidR="00D67221" w:rsidRPr="00E743FB" w:rsidRDefault="00D67221" w:rsidP="00D74907">
            <w:pPr>
              <w:spacing w:after="0" w:line="240" w:lineRule="auto"/>
              <w:jc w:val="right"/>
              <w:rPr>
                <w:rFonts w:ascii="Calibri" w:eastAsia="Times New Roman" w:hAnsi="Calibri" w:cs="Calibri"/>
                <w:color w:val="000000"/>
                <w:lang w:eastAsia="en-GB"/>
              </w:rPr>
            </w:pPr>
            <w:r w:rsidRPr="00E743FB">
              <w:rPr>
                <w:rFonts w:ascii="Calibri" w:eastAsia="Times New Roman" w:hAnsi="Calibri" w:cs="Calibri"/>
                <w:color w:val="000000"/>
                <w:lang w:eastAsia="en-GB"/>
              </w:rPr>
              <w:t>0</w:t>
            </w:r>
          </w:p>
        </w:tc>
        <w:tc>
          <w:tcPr>
            <w:tcW w:w="1300" w:type="dxa"/>
            <w:tcBorders>
              <w:top w:val="single" w:sz="4" w:space="0" w:color="95B3D7"/>
              <w:left w:val="nil"/>
              <w:bottom w:val="single" w:sz="4" w:space="0" w:color="95B3D7"/>
              <w:right w:val="single" w:sz="8" w:space="0" w:color="auto"/>
            </w:tcBorders>
            <w:shd w:val="clear" w:color="auto" w:fill="auto"/>
            <w:vAlign w:val="center"/>
            <w:hideMark/>
          </w:tcPr>
          <w:p w:rsidR="00D67221" w:rsidRPr="00E743FB" w:rsidRDefault="00D67221" w:rsidP="00D74907">
            <w:pPr>
              <w:spacing w:after="0" w:line="240" w:lineRule="auto"/>
              <w:jc w:val="right"/>
              <w:rPr>
                <w:rFonts w:ascii="Calibri" w:eastAsia="Times New Roman" w:hAnsi="Calibri" w:cs="Calibri"/>
                <w:color w:val="000000"/>
                <w:lang w:eastAsia="en-GB"/>
              </w:rPr>
            </w:pPr>
            <w:r w:rsidRPr="00E743FB">
              <w:rPr>
                <w:rFonts w:ascii="Calibri" w:eastAsia="Times New Roman" w:hAnsi="Calibri" w:cs="Calibri"/>
                <w:color w:val="000000"/>
                <w:lang w:eastAsia="en-GB"/>
              </w:rPr>
              <w:t>1.8</w:t>
            </w:r>
          </w:p>
        </w:tc>
        <w:tc>
          <w:tcPr>
            <w:tcW w:w="1760" w:type="dxa"/>
            <w:tcBorders>
              <w:top w:val="single" w:sz="4" w:space="0" w:color="95B3D7"/>
              <w:left w:val="nil"/>
              <w:bottom w:val="single" w:sz="4" w:space="0" w:color="95B3D7"/>
              <w:right w:val="single" w:sz="8" w:space="0" w:color="auto"/>
            </w:tcBorders>
            <w:shd w:val="clear" w:color="auto" w:fill="auto"/>
            <w:noWrap/>
            <w:vAlign w:val="center"/>
            <w:hideMark/>
          </w:tcPr>
          <w:p w:rsidR="00D67221" w:rsidRPr="00E743FB" w:rsidRDefault="00D67221" w:rsidP="00D74907">
            <w:pPr>
              <w:spacing w:after="0" w:line="240" w:lineRule="auto"/>
              <w:jc w:val="right"/>
              <w:rPr>
                <w:rFonts w:ascii="Calibri" w:eastAsia="Times New Roman" w:hAnsi="Calibri" w:cs="Calibri"/>
                <w:color w:val="FF0000"/>
                <w:lang w:eastAsia="en-GB"/>
              </w:rPr>
            </w:pPr>
            <w:r w:rsidRPr="00E743FB">
              <w:rPr>
                <w:rFonts w:ascii="Calibri" w:eastAsia="Times New Roman" w:hAnsi="Calibri" w:cs="Calibri"/>
                <w:color w:val="FF0000"/>
                <w:lang w:eastAsia="en-GB"/>
              </w:rPr>
              <w:t>1.8</w:t>
            </w:r>
          </w:p>
        </w:tc>
      </w:tr>
      <w:tr w:rsidR="00D67221" w:rsidRPr="00E743FB" w:rsidTr="00D67221">
        <w:trPr>
          <w:trHeight w:val="315"/>
        </w:trPr>
        <w:tc>
          <w:tcPr>
            <w:tcW w:w="960" w:type="dxa"/>
            <w:tcBorders>
              <w:top w:val="single" w:sz="4" w:space="0" w:color="95B3D7"/>
              <w:left w:val="single" w:sz="8" w:space="0" w:color="auto"/>
              <w:bottom w:val="single" w:sz="8" w:space="0" w:color="000000"/>
              <w:right w:val="single" w:sz="8" w:space="0" w:color="auto"/>
            </w:tcBorders>
            <w:shd w:val="clear" w:color="DCE6F1" w:fill="DCE6F1"/>
            <w:vAlign w:val="center"/>
            <w:hideMark/>
          </w:tcPr>
          <w:p w:rsidR="00D67221" w:rsidRPr="00E743FB" w:rsidRDefault="00D67221" w:rsidP="00D74907">
            <w:pPr>
              <w:spacing w:after="0" w:line="240" w:lineRule="auto"/>
              <w:jc w:val="center"/>
              <w:rPr>
                <w:rFonts w:ascii="Calibri" w:eastAsia="Times New Roman" w:hAnsi="Calibri" w:cs="Calibri"/>
                <w:b/>
                <w:bCs/>
                <w:color w:val="000000"/>
                <w:lang w:eastAsia="en-GB"/>
              </w:rPr>
            </w:pPr>
            <w:r w:rsidRPr="00E743FB">
              <w:rPr>
                <w:rFonts w:ascii="Calibri" w:eastAsia="Times New Roman" w:hAnsi="Calibri" w:cs="Calibri"/>
                <w:b/>
                <w:bCs/>
                <w:color w:val="000000"/>
                <w:lang w:eastAsia="en-GB"/>
              </w:rPr>
              <w:t> </w:t>
            </w:r>
          </w:p>
        </w:tc>
        <w:tc>
          <w:tcPr>
            <w:tcW w:w="960" w:type="dxa"/>
            <w:tcBorders>
              <w:top w:val="single" w:sz="4" w:space="0" w:color="95B3D7"/>
              <w:left w:val="nil"/>
              <w:bottom w:val="single" w:sz="8" w:space="0" w:color="auto"/>
              <w:right w:val="single" w:sz="8" w:space="0" w:color="auto"/>
            </w:tcBorders>
            <w:shd w:val="clear" w:color="DCE6F1" w:fill="DCE6F1"/>
            <w:vAlign w:val="center"/>
            <w:hideMark/>
          </w:tcPr>
          <w:p w:rsidR="00D67221" w:rsidRPr="00E743FB" w:rsidRDefault="00D67221" w:rsidP="00D74907">
            <w:pPr>
              <w:spacing w:after="0" w:line="240" w:lineRule="auto"/>
              <w:jc w:val="center"/>
              <w:rPr>
                <w:rFonts w:ascii="Calibri" w:eastAsia="Times New Roman" w:hAnsi="Calibri" w:cs="Calibri"/>
                <w:b/>
                <w:bCs/>
                <w:color w:val="000000"/>
                <w:lang w:eastAsia="en-GB"/>
              </w:rPr>
            </w:pPr>
            <w:r w:rsidRPr="00E743FB">
              <w:rPr>
                <w:rFonts w:ascii="Calibri" w:eastAsia="Times New Roman" w:hAnsi="Calibri" w:cs="Calibri"/>
                <w:b/>
                <w:bCs/>
                <w:color w:val="000000"/>
                <w:lang w:eastAsia="en-GB"/>
              </w:rPr>
              <w:t>u/c</w:t>
            </w:r>
          </w:p>
        </w:tc>
        <w:tc>
          <w:tcPr>
            <w:tcW w:w="1100" w:type="dxa"/>
            <w:tcBorders>
              <w:top w:val="single" w:sz="4" w:space="0" w:color="95B3D7"/>
              <w:left w:val="nil"/>
              <w:bottom w:val="single" w:sz="8" w:space="0" w:color="auto"/>
              <w:right w:val="single" w:sz="8" w:space="0" w:color="auto"/>
            </w:tcBorders>
            <w:shd w:val="clear" w:color="DCE6F1" w:fill="DCE6F1"/>
            <w:vAlign w:val="center"/>
            <w:hideMark/>
          </w:tcPr>
          <w:p w:rsidR="00D67221" w:rsidRPr="00E743FB" w:rsidRDefault="00D67221" w:rsidP="00D74907">
            <w:pPr>
              <w:spacing w:after="0" w:line="240" w:lineRule="auto"/>
              <w:jc w:val="right"/>
              <w:rPr>
                <w:rFonts w:ascii="Calibri" w:eastAsia="Times New Roman" w:hAnsi="Calibri" w:cs="Calibri"/>
                <w:color w:val="000000"/>
                <w:lang w:eastAsia="en-GB"/>
              </w:rPr>
            </w:pPr>
            <w:r w:rsidRPr="00E743FB">
              <w:rPr>
                <w:rFonts w:ascii="Calibri" w:eastAsia="Times New Roman" w:hAnsi="Calibri" w:cs="Calibri"/>
                <w:color w:val="000000"/>
                <w:lang w:eastAsia="en-GB"/>
              </w:rPr>
              <w:t>0</w:t>
            </w:r>
          </w:p>
        </w:tc>
        <w:tc>
          <w:tcPr>
            <w:tcW w:w="1300" w:type="dxa"/>
            <w:tcBorders>
              <w:top w:val="single" w:sz="4" w:space="0" w:color="95B3D7"/>
              <w:left w:val="nil"/>
              <w:bottom w:val="single" w:sz="8" w:space="0" w:color="auto"/>
              <w:right w:val="single" w:sz="8" w:space="0" w:color="auto"/>
            </w:tcBorders>
            <w:shd w:val="clear" w:color="DCE6F1" w:fill="DCE6F1"/>
            <w:vAlign w:val="center"/>
            <w:hideMark/>
          </w:tcPr>
          <w:p w:rsidR="00D67221" w:rsidRPr="00E743FB" w:rsidRDefault="00D67221" w:rsidP="00D74907">
            <w:pPr>
              <w:spacing w:after="0" w:line="240" w:lineRule="auto"/>
              <w:jc w:val="right"/>
              <w:rPr>
                <w:rFonts w:ascii="Calibri" w:eastAsia="Times New Roman" w:hAnsi="Calibri" w:cs="Calibri"/>
                <w:color w:val="000000"/>
                <w:lang w:eastAsia="en-GB"/>
              </w:rPr>
            </w:pPr>
            <w:r w:rsidRPr="00E743FB">
              <w:rPr>
                <w:rFonts w:ascii="Calibri" w:eastAsia="Times New Roman" w:hAnsi="Calibri" w:cs="Calibri"/>
                <w:color w:val="000000"/>
                <w:lang w:eastAsia="en-GB"/>
              </w:rPr>
              <w:t>0.7</w:t>
            </w:r>
          </w:p>
        </w:tc>
        <w:tc>
          <w:tcPr>
            <w:tcW w:w="1760" w:type="dxa"/>
            <w:tcBorders>
              <w:top w:val="single" w:sz="4" w:space="0" w:color="95B3D7"/>
              <w:left w:val="nil"/>
              <w:bottom w:val="single" w:sz="8" w:space="0" w:color="auto"/>
              <w:right w:val="single" w:sz="8" w:space="0" w:color="auto"/>
            </w:tcBorders>
            <w:shd w:val="clear" w:color="DCE6F1" w:fill="DCE6F1"/>
            <w:noWrap/>
            <w:vAlign w:val="center"/>
            <w:hideMark/>
          </w:tcPr>
          <w:p w:rsidR="00D67221" w:rsidRPr="00E743FB" w:rsidRDefault="00D67221" w:rsidP="00D74907">
            <w:pPr>
              <w:spacing w:after="0" w:line="240" w:lineRule="auto"/>
              <w:jc w:val="right"/>
              <w:rPr>
                <w:rFonts w:ascii="Calibri" w:eastAsia="Times New Roman" w:hAnsi="Calibri" w:cs="Calibri"/>
                <w:color w:val="FF0000"/>
                <w:lang w:eastAsia="en-GB"/>
              </w:rPr>
            </w:pPr>
            <w:r w:rsidRPr="00E743FB">
              <w:rPr>
                <w:rFonts w:ascii="Calibri" w:eastAsia="Times New Roman" w:hAnsi="Calibri" w:cs="Calibri"/>
                <w:color w:val="FF0000"/>
                <w:lang w:eastAsia="en-GB"/>
              </w:rPr>
              <w:t>0.7</w:t>
            </w:r>
          </w:p>
        </w:tc>
      </w:tr>
    </w:tbl>
    <w:p w:rsidR="00D67221" w:rsidRDefault="00D67221" w:rsidP="00D67221"/>
    <w:p w:rsidR="00D67221" w:rsidRDefault="00D67221" w:rsidP="00D67221">
      <w:pPr>
        <w:jc w:val="both"/>
      </w:pPr>
      <w:r>
        <w:t xml:space="preserve">For the </w:t>
      </w:r>
      <w:r w:rsidRPr="002F3710">
        <w:rPr>
          <w:b/>
        </w:rPr>
        <w:t xml:space="preserve">outputs </w:t>
      </w:r>
      <w:r>
        <w:t xml:space="preserve">scored at 4* </w:t>
      </w:r>
      <w:proofErr w:type="spellStart"/>
      <w:r>
        <w:t>subprofile</w:t>
      </w:r>
      <w:proofErr w:type="spellEnd"/>
      <w:r>
        <w:t xml:space="preserve">, </w:t>
      </w:r>
      <w:proofErr w:type="spellStart"/>
      <w:r>
        <w:t>UoA</w:t>
      </w:r>
      <w:proofErr w:type="spellEnd"/>
      <w:r>
        <w:t xml:space="preserve"> 4 ranks 29th in the UK </w:t>
      </w:r>
    </w:p>
    <w:p w:rsidR="00D67221" w:rsidRDefault="00D67221" w:rsidP="00D67221">
      <w:pPr>
        <w:jc w:val="both"/>
      </w:pPr>
      <w:r>
        <w:t>For the</w:t>
      </w:r>
      <w:r w:rsidRPr="002F3710">
        <w:rPr>
          <w:b/>
        </w:rPr>
        <w:t xml:space="preserve"> impact</w:t>
      </w:r>
      <w:r>
        <w:t xml:space="preserve"> scored at 4* </w:t>
      </w:r>
      <w:proofErr w:type="spellStart"/>
      <w:r>
        <w:t>subprofile</w:t>
      </w:r>
      <w:proofErr w:type="spellEnd"/>
      <w:r>
        <w:t xml:space="preserve">, </w:t>
      </w:r>
      <w:proofErr w:type="spellStart"/>
      <w:r>
        <w:t>UoA</w:t>
      </w:r>
      <w:proofErr w:type="spellEnd"/>
      <w:r>
        <w:t xml:space="preserve"> 4 ranks joint 28</w:t>
      </w:r>
      <w:r w:rsidRPr="003D5BE3">
        <w:rPr>
          <w:vertAlign w:val="superscript"/>
        </w:rPr>
        <w:t>th</w:t>
      </w:r>
      <w:r>
        <w:t xml:space="preserve"> with Coventry, Goldsmiths’ College, UEA, Glasgow, Nottingham and Sheffield. </w:t>
      </w:r>
    </w:p>
    <w:p w:rsidR="00D67221" w:rsidRDefault="00D67221" w:rsidP="00D67221">
      <w:pPr>
        <w:jc w:val="both"/>
      </w:pPr>
      <w:r>
        <w:t>For the</w:t>
      </w:r>
      <w:r w:rsidRPr="002F3710">
        <w:rPr>
          <w:b/>
        </w:rPr>
        <w:t xml:space="preserve"> environment</w:t>
      </w:r>
      <w:r>
        <w:t xml:space="preserve"> scored at 4* </w:t>
      </w:r>
      <w:proofErr w:type="spellStart"/>
      <w:r>
        <w:t>subprofile</w:t>
      </w:r>
      <w:proofErr w:type="spellEnd"/>
      <w:r>
        <w:t xml:space="preserve">, </w:t>
      </w:r>
      <w:proofErr w:type="spellStart"/>
      <w:r>
        <w:t>UoA</w:t>
      </w:r>
      <w:proofErr w:type="spellEnd"/>
      <w:r>
        <w:t xml:space="preserve"> 4 ranks joint 1</w:t>
      </w:r>
      <w:r w:rsidRPr="00711DA1">
        <w:rPr>
          <w:vertAlign w:val="superscript"/>
        </w:rPr>
        <w:t>st</w:t>
      </w:r>
      <w:r>
        <w:t xml:space="preserve"> with 10 other institutions (</w:t>
      </w:r>
      <w:proofErr w:type="spellStart"/>
      <w:r>
        <w:t>Birkbeck</w:t>
      </w:r>
      <w:proofErr w:type="spellEnd"/>
      <w:r>
        <w:t xml:space="preserve"> College, Cardiff, KCL, Newcastle, UCL, Birmingham, Cambridge, Edinburgh, Oxford and St. Andrew’s). </w:t>
      </w:r>
    </w:p>
    <w:p w:rsidR="00D67221" w:rsidRDefault="00D67221" w:rsidP="00D67221">
      <w:pPr>
        <w:jc w:val="both"/>
      </w:pPr>
      <w:r>
        <w:t xml:space="preserve">In terms of </w:t>
      </w:r>
      <w:r w:rsidRPr="00DD6A91">
        <w:rPr>
          <w:b/>
        </w:rPr>
        <w:t>research power</w:t>
      </w:r>
      <w:r>
        <w:t xml:space="preserve">, the </w:t>
      </w:r>
      <w:proofErr w:type="spellStart"/>
      <w:r>
        <w:t>UoM</w:t>
      </w:r>
      <w:proofErr w:type="spellEnd"/>
      <w:r>
        <w:t xml:space="preserve"> was 8</w:t>
      </w:r>
      <w:r w:rsidRPr="008E3E70">
        <w:rPr>
          <w:vertAlign w:val="superscript"/>
        </w:rPr>
        <w:t>th</w:t>
      </w:r>
      <w:r>
        <w:t xml:space="preserve"> in the UK with 0.23. UCL was first with 1.0, followed by KCL with 0.84 and Edinburgh with 0.41:</w:t>
      </w:r>
    </w:p>
    <w:p w:rsidR="00D67221" w:rsidRDefault="00D67221" w:rsidP="00D67221">
      <w:pPr>
        <w:jc w:val="both"/>
      </w:pPr>
      <w:bookmarkStart w:id="0" w:name="_GoBack"/>
      <w:bookmarkEnd w:id="0"/>
    </w:p>
    <w:p w:rsidR="00D67221" w:rsidRDefault="00D67221" w:rsidP="00D67221">
      <w:pPr>
        <w:jc w:val="both"/>
      </w:pPr>
    </w:p>
    <w:tbl>
      <w:tblPr>
        <w:tblW w:w="8896" w:type="dxa"/>
        <w:jc w:val="center"/>
        <w:tblInd w:w="93" w:type="dxa"/>
        <w:tblLook w:val="04A0" w:firstRow="1" w:lastRow="0" w:firstColumn="1" w:lastColumn="0" w:noHBand="0" w:noVBand="1"/>
      </w:tblPr>
      <w:tblGrid>
        <w:gridCol w:w="3880"/>
        <w:gridCol w:w="1160"/>
        <w:gridCol w:w="1276"/>
        <w:gridCol w:w="1160"/>
        <w:gridCol w:w="1420"/>
      </w:tblGrid>
      <w:tr w:rsidR="00D67221" w:rsidRPr="00125B39" w:rsidTr="00D74907">
        <w:trPr>
          <w:trHeight w:val="300"/>
          <w:jc w:val="center"/>
        </w:trPr>
        <w:tc>
          <w:tcPr>
            <w:tcW w:w="3880" w:type="dxa"/>
            <w:tcBorders>
              <w:top w:val="single" w:sz="4" w:space="0" w:color="95B3D7"/>
              <w:left w:val="single" w:sz="4" w:space="0" w:color="95B3D7"/>
              <w:bottom w:val="single" w:sz="4" w:space="0" w:color="95B3D7"/>
              <w:right w:val="nil"/>
            </w:tcBorders>
            <w:shd w:val="clear" w:color="4F81BD" w:fill="4F81BD"/>
            <w:noWrap/>
            <w:vAlign w:val="bottom"/>
            <w:hideMark/>
          </w:tcPr>
          <w:p w:rsidR="00D67221" w:rsidRPr="00125B39" w:rsidRDefault="00D67221" w:rsidP="00D74907">
            <w:pPr>
              <w:spacing w:after="0" w:line="240" w:lineRule="auto"/>
              <w:rPr>
                <w:rFonts w:ascii="Calibri" w:eastAsia="Times New Roman" w:hAnsi="Calibri" w:cs="Calibri"/>
                <w:b/>
                <w:bCs/>
                <w:color w:val="FFFFFF"/>
                <w:lang w:eastAsia="en-GB"/>
              </w:rPr>
            </w:pPr>
            <w:r w:rsidRPr="00125B39">
              <w:rPr>
                <w:rFonts w:ascii="Calibri" w:eastAsia="Times New Roman" w:hAnsi="Calibri" w:cs="Calibri"/>
                <w:b/>
                <w:bCs/>
                <w:color w:val="FFFFFF"/>
                <w:lang w:eastAsia="en-GB"/>
              </w:rPr>
              <w:t>HEI</w:t>
            </w:r>
          </w:p>
        </w:tc>
        <w:tc>
          <w:tcPr>
            <w:tcW w:w="1160" w:type="dxa"/>
            <w:tcBorders>
              <w:top w:val="single" w:sz="4" w:space="0" w:color="95B3D7"/>
              <w:left w:val="nil"/>
              <w:bottom w:val="single" w:sz="4" w:space="0" w:color="95B3D7"/>
              <w:right w:val="nil"/>
            </w:tcBorders>
            <w:shd w:val="clear" w:color="4F81BD" w:fill="4F81BD"/>
            <w:noWrap/>
            <w:vAlign w:val="bottom"/>
            <w:hideMark/>
          </w:tcPr>
          <w:p w:rsidR="00D67221" w:rsidRPr="00125B39" w:rsidRDefault="00D67221" w:rsidP="00D74907">
            <w:pPr>
              <w:spacing w:after="0" w:line="240" w:lineRule="auto"/>
              <w:rPr>
                <w:rFonts w:ascii="Calibri" w:eastAsia="Times New Roman" w:hAnsi="Calibri" w:cs="Calibri"/>
                <w:b/>
                <w:bCs/>
                <w:color w:val="FFFFFF"/>
                <w:lang w:eastAsia="en-GB"/>
              </w:rPr>
            </w:pPr>
            <w:r w:rsidRPr="00125B39">
              <w:rPr>
                <w:rFonts w:ascii="Calibri" w:eastAsia="Times New Roman" w:hAnsi="Calibri" w:cs="Calibri"/>
                <w:b/>
                <w:bCs/>
                <w:color w:val="FFFFFF"/>
                <w:lang w:eastAsia="en-GB"/>
              </w:rPr>
              <w:t>Cat A FTE</w:t>
            </w:r>
          </w:p>
        </w:tc>
        <w:tc>
          <w:tcPr>
            <w:tcW w:w="1276" w:type="dxa"/>
            <w:tcBorders>
              <w:top w:val="single" w:sz="4" w:space="0" w:color="95B3D7"/>
              <w:left w:val="nil"/>
              <w:bottom w:val="single" w:sz="4" w:space="0" w:color="95B3D7"/>
              <w:right w:val="nil"/>
            </w:tcBorders>
            <w:shd w:val="clear" w:color="4F81BD" w:fill="4F81BD"/>
            <w:noWrap/>
            <w:vAlign w:val="bottom"/>
            <w:hideMark/>
          </w:tcPr>
          <w:p w:rsidR="00D67221" w:rsidRPr="00125B39" w:rsidRDefault="00D67221" w:rsidP="00D74907">
            <w:pPr>
              <w:spacing w:after="0" w:line="240" w:lineRule="auto"/>
              <w:rPr>
                <w:rFonts w:ascii="Calibri" w:eastAsia="Times New Roman" w:hAnsi="Calibri" w:cs="Calibri"/>
                <w:b/>
                <w:bCs/>
                <w:color w:val="FFFFFF"/>
                <w:lang w:eastAsia="en-GB"/>
              </w:rPr>
            </w:pPr>
            <w:r w:rsidRPr="00125B39">
              <w:rPr>
                <w:rFonts w:ascii="Calibri" w:eastAsia="Times New Roman" w:hAnsi="Calibri" w:cs="Calibri"/>
                <w:b/>
                <w:bCs/>
                <w:color w:val="FFFFFF"/>
                <w:lang w:eastAsia="en-GB"/>
              </w:rPr>
              <w:t>Power</w:t>
            </w:r>
          </w:p>
        </w:tc>
        <w:tc>
          <w:tcPr>
            <w:tcW w:w="1160" w:type="dxa"/>
            <w:tcBorders>
              <w:top w:val="single" w:sz="4" w:space="0" w:color="95B3D7"/>
              <w:left w:val="nil"/>
              <w:bottom w:val="single" w:sz="4" w:space="0" w:color="95B3D7"/>
              <w:right w:val="nil"/>
            </w:tcBorders>
            <w:shd w:val="clear" w:color="4F81BD" w:fill="4F81BD"/>
            <w:noWrap/>
            <w:vAlign w:val="bottom"/>
            <w:hideMark/>
          </w:tcPr>
          <w:p w:rsidR="00D67221" w:rsidRPr="00125B39" w:rsidRDefault="00D67221" w:rsidP="00D74907">
            <w:pPr>
              <w:spacing w:after="0" w:line="240" w:lineRule="auto"/>
              <w:rPr>
                <w:rFonts w:ascii="Calibri" w:eastAsia="Times New Roman" w:hAnsi="Calibri" w:cs="Calibri"/>
                <w:b/>
                <w:bCs/>
                <w:color w:val="FFFFFF"/>
                <w:lang w:eastAsia="en-GB"/>
              </w:rPr>
            </w:pPr>
            <w:r w:rsidRPr="00125B39">
              <w:rPr>
                <w:rFonts w:ascii="Calibri" w:eastAsia="Times New Roman" w:hAnsi="Calibri" w:cs="Calibri"/>
                <w:b/>
                <w:bCs/>
                <w:color w:val="FFFFFF"/>
                <w:lang w:eastAsia="en-GB"/>
              </w:rPr>
              <w:t>Column1</w:t>
            </w:r>
          </w:p>
        </w:tc>
        <w:tc>
          <w:tcPr>
            <w:tcW w:w="1420" w:type="dxa"/>
            <w:tcBorders>
              <w:top w:val="single" w:sz="4" w:space="0" w:color="95B3D7"/>
              <w:left w:val="nil"/>
              <w:bottom w:val="single" w:sz="4" w:space="0" w:color="95B3D7"/>
              <w:right w:val="single" w:sz="4" w:space="0" w:color="95B3D7"/>
            </w:tcBorders>
            <w:shd w:val="clear" w:color="4F81BD" w:fill="4F81BD"/>
            <w:noWrap/>
            <w:vAlign w:val="bottom"/>
            <w:hideMark/>
          </w:tcPr>
          <w:p w:rsidR="00D67221" w:rsidRPr="00125B39" w:rsidRDefault="00D67221" w:rsidP="00D74907">
            <w:pPr>
              <w:spacing w:after="0" w:line="240" w:lineRule="auto"/>
              <w:rPr>
                <w:rFonts w:ascii="Calibri" w:eastAsia="Times New Roman" w:hAnsi="Calibri" w:cs="Calibri"/>
                <w:b/>
                <w:bCs/>
                <w:color w:val="FFFFFF"/>
                <w:lang w:eastAsia="en-GB"/>
              </w:rPr>
            </w:pPr>
            <w:r w:rsidRPr="00125B39">
              <w:rPr>
                <w:rFonts w:ascii="Calibri" w:eastAsia="Times New Roman" w:hAnsi="Calibri" w:cs="Calibri"/>
                <w:b/>
                <w:bCs/>
                <w:color w:val="FFFFFF"/>
                <w:lang w:eastAsia="en-GB"/>
              </w:rPr>
              <w:t>Prop Staff Sub</w:t>
            </w:r>
          </w:p>
        </w:tc>
      </w:tr>
      <w:tr w:rsidR="00D67221" w:rsidRPr="00125B39" w:rsidTr="00D74907">
        <w:trPr>
          <w:trHeight w:val="300"/>
          <w:jc w:val="center"/>
        </w:trPr>
        <w:tc>
          <w:tcPr>
            <w:tcW w:w="3880" w:type="dxa"/>
            <w:tcBorders>
              <w:top w:val="single" w:sz="4" w:space="0" w:color="95B3D7"/>
              <w:left w:val="single" w:sz="4" w:space="0" w:color="95B3D7"/>
              <w:bottom w:val="single" w:sz="4" w:space="0" w:color="95B3D7"/>
              <w:right w:val="nil"/>
            </w:tcBorders>
            <w:shd w:val="clear" w:color="DCE6F1" w:fill="DCE6F1"/>
            <w:noWrap/>
            <w:vAlign w:val="bottom"/>
            <w:hideMark/>
          </w:tcPr>
          <w:p w:rsidR="00D67221" w:rsidRPr="00125B39" w:rsidRDefault="00D67221" w:rsidP="00D74907">
            <w:pPr>
              <w:spacing w:after="0" w:line="240" w:lineRule="auto"/>
              <w:rPr>
                <w:rFonts w:ascii="Calibri" w:eastAsia="Times New Roman" w:hAnsi="Calibri" w:cs="Calibri"/>
                <w:color w:val="000000"/>
                <w:lang w:eastAsia="en-GB"/>
              </w:rPr>
            </w:pPr>
            <w:r w:rsidRPr="00125B39">
              <w:rPr>
                <w:rFonts w:ascii="Calibri" w:eastAsia="Times New Roman" w:hAnsi="Calibri" w:cs="Calibri"/>
                <w:color w:val="000000"/>
                <w:lang w:eastAsia="en-GB"/>
              </w:rPr>
              <w:t>University College London</w:t>
            </w:r>
          </w:p>
        </w:tc>
        <w:tc>
          <w:tcPr>
            <w:tcW w:w="1160"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286.6</w:t>
            </w:r>
          </w:p>
        </w:tc>
        <w:tc>
          <w:tcPr>
            <w:tcW w:w="1276"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1</w:t>
            </w:r>
          </w:p>
        </w:tc>
        <w:tc>
          <w:tcPr>
            <w:tcW w:w="1160"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1</w:t>
            </w:r>
          </w:p>
        </w:tc>
        <w:tc>
          <w:tcPr>
            <w:tcW w:w="1420" w:type="dxa"/>
            <w:tcBorders>
              <w:top w:val="single" w:sz="4" w:space="0" w:color="95B3D7"/>
              <w:left w:val="nil"/>
              <w:bottom w:val="single" w:sz="4" w:space="0" w:color="95B3D7"/>
              <w:right w:val="single" w:sz="4" w:space="0" w:color="95B3D7"/>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92.4516129</w:t>
            </w:r>
          </w:p>
        </w:tc>
      </w:tr>
      <w:tr w:rsidR="00D67221" w:rsidRPr="00125B39" w:rsidTr="00D74907">
        <w:trPr>
          <w:trHeight w:val="300"/>
          <w:jc w:val="center"/>
        </w:trPr>
        <w:tc>
          <w:tcPr>
            <w:tcW w:w="3880" w:type="dxa"/>
            <w:tcBorders>
              <w:top w:val="single" w:sz="4" w:space="0" w:color="95B3D7"/>
              <w:left w:val="single" w:sz="4" w:space="0" w:color="95B3D7"/>
              <w:bottom w:val="single" w:sz="4" w:space="0" w:color="95B3D7"/>
              <w:right w:val="nil"/>
            </w:tcBorders>
            <w:shd w:val="clear" w:color="auto" w:fill="auto"/>
            <w:noWrap/>
            <w:vAlign w:val="bottom"/>
            <w:hideMark/>
          </w:tcPr>
          <w:p w:rsidR="00D67221" w:rsidRPr="00125B39" w:rsidRDefault="00D67221" w:rsidP="00D74907">
            <w:pPr>
              <w:spacing w:after="0" w:line="240" w:lineRule="auto"/>
              <w:rPr>
                <w:rFonts w:ascii="Calibri" w:eastAsia="Times New Roman" w:hAnsi="Calibri" w:cs="Calibri"/>
                <w:color w:val="000000"/>
                <w:lang w:eastAsia="en-GB"/>
              </w:rPr>
            </w:pPr>
            <w:r w:rsidRPr="00125B39">
              <w:rPr>
                <w:rFonts w:ascii="Calibri" w:eastAsia="Times New Roman" w:hAnsi="Calibri" w:cs="Calibri"/>
                <w:color w:val="000000"/>
                <w:lang w:eastAsia="en-GB"/>
              </w:rPr>
              <w:t>King's College London</w:t>
            </w:r>
          </w:p>
        </w:tc>
        <w:tc>
          <w:tcPr>
            <w:tcW w:w="1160" w:type="dxa"/>
            <w:tcBorders>
              <w:top w:val="single" w:sz="4" w:space="0" w:color="95B3D7"/>
              <w:left w:val="nil"/>
              <w:bottom w:val="single" w:sz="4" w:space="0" w:color="95B3D7"/>
              <w:right w:val="nil"/>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238.88</w:t>
            </w:r>
          </w:p>
        </w:tc>
        <w:tc>
          <w:tcPr>
            <w:tcW w:w="1276" w:type="dxa"/>
            <w:tcBorders>
              <w:top w:val="single" w:sz="4" w:space="0" w:color="95B3D7"/>
              <w:left w:val="nil"/>
              <w:bottom w:val="single" w:sz="4" w:space="0" w:color="95B3D7"/>
              <w:right w:val="nil"/>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0.84359915</w:t>
            </w:r>
          </w:p>
        </w:tc>
        <w:tc>
          <w:tcPr>
            <w:tcW w:w="1160" w:type="dxa"/>
            <w:tcBorders>
              <w:top w:val="single" w:sz="4" w:space="0" w:color="95B3D7"/>
              <w:left w:val="nil"/>
              <w:bottom w:val="single" w:sz="4" w:space="0" w:color="95B3D7"/>
              <w:right w:val="nil"/>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2</w:t>
            </w:r>
          </w:p>
        </w:tc>
        <w:tc>
          <w:tcPr>
            <w:tcW w:w="1420" w:type="dxa"/>
            <w:tcBorders>
              <w:top w:val="single" w:sz="4" w:space="0" w:color="95B3D7"/>
              <w:left w:val="nil"/>
              <w:bottom w:val="single" w:sz="4" w:space="0" w:color="95B3D7"/>
              <w:right w:val="single" w:sz="4" w:space="0" w:color="95B3D7"/>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89.13432836</w:t>
            </w:r>
          </w:p>
        </w:tc>
      </w:tr>
      <w:tr w:rsidR="00D67221" w:rsidRPr="00125B39" w:rsidTr="00D74907">
        <w:trPr>
          <w:trHeight w:val="300"/>
          <w:jc w:val="center"/>
        </w:trPr>
        <w:tc>
          <w:tcPr>
            <w:tcW w:w="3880" w:type="dxa"/>
            <w:tcBorders>
              <w:top w:val="single" w:sz="4" w:space="0" w:color="95B3D7"/>
              <w:left w:val="single" w:sz="4" w:space="0" w:color="95B3D7"/>
              <w:bottom w:val="single" w:sz="4" w:space="0" w:color="95B3D7"/>
              <w:right w:val="nil"/>
            </w:tcBorders>
            <w:shd w:val="clear" w:color="DCE6F1" w:fill="DCE6F1"/>
            <w:noWrap/>
            <w:vAlign w:val="bottom"/>
            <w:hideMark/>
          </w:tcPr>
          <w:p w:rsidR="00D67221" w:rsidRPr="00125B39" w:rsidRDefault="00D67221" w:rsidP="00D74907">
            <w:pPr>
              <w:spacing w:after="0" w:line="240" w:lineRule="auto"/>
              <w:rPr>
                <w:rFonts w:ascii="Calibri" w:eastAsia="Times New Roman" w:hAnsi="Calibri" w:cs="Calibri"/>
                <w:color w:val="000000"/>
                <w:lang w:eastAsia="en-GB"/>
              </w:rPr>
            </w:pPr>
            <w:r w:rsidRPr="00125B39">
              <w:rPr>
                <w:rFonts w:ascii="Calibri" w:eastAsia="Times New Roman" w:hAnsi="Calibri" w:cs="Calibri"/>
                <w:color w:val="000000"/>
                <w:lang w:eastAsia="en-GB"/>
              </w:rPr>
              <w:t>University of Edinburgh</w:t>
            </w:r>
          </w:p>
        </w:tc>
        <w:tc>
          <w:tcPr>
            <w:tcW w:w="1160"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117.28</w:t>
            </w:r>
          </w:p>
        </w:tc>
        <w:tc>
          <w:tcPr>
            <w:tcW w:w="1276"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0.41541162</w:t>
            </w:r>
          </w:p>
        </w:tc>
        <w:tc>
          <w:tcPr>
            <w:tcW w:w="1160"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3</w:t>
            </w:r>
          </w:p>
        </w:tc>
        <w:tc>
          <w:tcPr>
            <w:tcW w:w="1420" w:type="dxa"/>
            <w:tcBorders>
              <w:top w:val="single" w:sz="4" w:space="0" w:color="95B3D7"/>
              <w:left w:val="nil"/>
              <w:bottom w:val="single" w:sz="4" w:space="0" w:color="95B3D7"/>
              <w:right w:val="single" w:sz="4" w:space="0" w:color="95B3D7"/>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85.60583942</w:t>
            </w:r>
          </w:p>
        </w:tc>
      </w:tr>
      <w:tr w:rsidR="00D67221" w:rsidRPr="00125B39" w:rsidTr="00D74907">
        <w:trPr>
          <w:trHeight w:val="300"/>
          <w:jc w:val="center"/>
        </w:trPr>
        <w:tc>
          <w:tcPr>
            <w:tcW w:w="3880" w:type="dxa"/>
            <w:tcBorders>
              <w:top w:val="single" w:sz="4" w:space="0" w:color="95B3D7"/>
              <w:left w:val="single" w:sz="4" w:space="0" w:color="95B3D7"/>
              <w:bottom w:val="single" w:sz="4" w:space="0" w:color="95B3D7"/>
              <w:right w:val="nil"/>
            </w:tcBorders>
            <w:shd w:val="clear" w:color="auto" w:fill="auto"/>
            <w:noWrap/>
            <w:vAlign w:val="bottom"/>
            <w:hideMark/>
          </w:tcPr>
          <w:p w:rsidR="00D67221" w:rsidRPr="00125B39" w:rsidRDefault="00D67221" w:rsidP="00D74907">
            <w:pPr>
              <w:spacing w:after="0" w:line="240" w:lineRule="auto"/>
              <w:rPr>
                <w:rFonts w:ascii="Calibri" w:eastAsia="Times New Roman" w:hAnsi="Calibri" w:cs="Calibri"/>
                <w:color w:val="000000"/>
                <w:lang w:eastAsia="en-GB"/>
              </w:rPr>
            </w:pPr>
            <w:r w:rsidRPr="00125B39">
              <w:rPr>
                <w:rFonts w:ascii="Calibri" w:eastAsia="Times New Roman" w:hAnsi="Calibri" w:cs="Calibri"/>
                <w:color w:val="000000"/>
                <w:lang w:eastAsia="en-GB"/>
              </w:rPr>
              <w:t>University of Oxford</w:t>
            </w:r>
          </w:p>
        </w:tc>
        <w:tc>
          <w:tcPr>
            <w:tcW w:w="1160" w:type="dxa"/>
            <w:tcBorders>
              <w:top w:val="single" w:sz="4" w:space="0" w:color="95B3D7"/>
              <w:left w:val="nil"/>
              <w:bottom w:val="single" w:sz="4" w:space="0" w:color="95B3D7"/>
              <w:right w:val="nil"/>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98.3</w:t>
            </w:r>
          </w:p>
        </w:tc>
        <w:tc>
          <w:tcPr>
            <w:tcW w:w="1276" w:type="dxa"/>
            <w:tcBorders>
              <w:top w:val="single" w:sz="4" w:space="0" w:color="95B3D7"/>
              <w:left w:val="nil"/>
              <w:bottom w:val="single" w:sz="4" w:space="0" w:color="95B3D7"/>
              <w:right w:val="nil"/>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0.37624606</w:t>
            </w:r>
          </w:p>
        </w:tc>
        <w:tc>
          <w:tcPr>
            <w:tcW w:w="1160" w:type="dxa"/>
            <w:tcBorders>
              <w:top w:val="single" w:sz="4" w:space="0" w:color="95B3D7"/>
              <w:left w:val="nil"/>
              <w:bottom w:val="single" w:sz="4" w:space="0" w:color="95B3D7"/>
              <w:right w:val="nil"/>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4</w:t>
            </w:r>
          </w:p>
        </w:tc>
        <w:tc>
          <w:tcPr>
            <w:tcW w:w="1420" w:type="dxa"/>
            <w:tcBorders>
              <w:top w:val="single" w:sz="4" w:space="0" w:color="95B3D7"/>
              <w:left w:val="nil"/>
              <w:bottom w:val="single" w:sz="4" w:space="0" w:color="95B3D7"/>
              <w:right w:val="single" w:sz="4" w:space="0" w:color="95B3D7"/>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76.796875</w:t>
            </w:r>
          </w:p>
        </w:tc>
      </w:tr>
      <w:tr w:rsidR="00D67221" w:rsidRPr="00125B39" w:rsidTr="00D74907">
        <w:trPr>
          <w:trHeight w:val="300"/>
          <w:jc w:val="center"/>
        </w:trPr>
        <w:tc>
          <w:tcPr>
            <w:tcW w:w="3880" w:type="dxa"/>
            <w:tcBorders>
              <w:top w:val="single" w:sz="4" w:space="0" w:color="95B3D7"/>
              <w:left w:val="single" w:sz="4" w:space="0" w:color="95B3D7"/>
              <w:bottom w:val="single" w:sz="4" w:space="0" w:color="95B3D7"/>
              <w:right w:val="nil"/>
            </w:tcBorders>
            <w:shd w:val="clear" w:color="DCE6F1" w:fill="DCE6F1"/>
            <w:noWrap/>
            <w:vAlign w:val="bottom"/>
            <w:hideMark/>
          </w:tcPr>
          <w:p w:rsidR="00D67221" w:rsidRPr="00125B39" w:rsidRDefault="00D67221" w:rsidP="00D74907">
            <w:pPr>
              <w:spacing w:after="0" w:line="240" w:lineRule="auto"/>
              <w:rPr>
                <w:rFonts w:ascii="Calibri" w:eastAsia="Times New Roman" w:hAnsi="Calibri" w:cs="Calibri"/>
                <w:color w:val="000000"/>
                <w:lang w:eastAsia="en-GB"/>
              </w:rPr>
            </w:pPr>
            <w:r w:rsidRPr="00125B39">
              <w:rPr>
                <w:rFonts w:ascii="Calibri" w:eastAsia="Times New Roman" w:hAnsi="Calibri" w:cs="Calibri"/>
                <w:color w:val="000000"/>
                <w:lang w:eastAsia="en-GB"/>
              </w:rPr>
              <w:t>University of Cambridge</w:t>
            </w:r>
          </w:p>
        </w:tc>
        <w:tc>
          <w:tcPr>
            <w:tcW w:w="1160"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75.95</w:t>
            </w:r>
          </w:p>
        </w:tc>
        <w:tc>
          <w:tcPr>
            <w:tcW w:w="1276"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0.28186735</w:t>
            </w:r>
          </w:p>
        </w:tc>
        <w:tc>
          <w:tcPr>
            <w:tcW w:w="1160"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5</w:t>
            </w:r>
          </w:p>
        </w:tc>
        <w:tc>
          <w:tcPr>
            <w:tcW w:w="1420" w:type="dxa"/>
            <w:tcBorders>
              <w:top w:val="single" w:sz="4" w:space="0" w:color="95B3D7"/>
              <w:left w:val="nil"/>
              <w:bottom w:val="single" w:sz="4" w:space="0" w:color="95B3D7"/>
              <w:right w:val="single" w:sz="4" w:space="0" w:color="95B3D7"/>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82.55434783</w:t>
            </w:r>
          </w:p>
        </w:tc>
      </w:tr>
      <w:tr w:rsidR="00D67221" w:rsidRPr="00125B39" w:rsidTr="00D74907">
        <w:trPr>
          <w:trHeight w:val="300"/>
          <w:jc w:val="center"/>
        </w:trPr>
        <w:tc>
          <w:tcPr>
            <w:tcW w:w="3880" w:type="dxa"/>
            <w:tcBorders>
              <w:top w:val="single" w:sz="4" w:space="0" w:color="95B3D7"/>
              <w:left w:val="single" w:sz="4" w:space="0" w:color="95B3D7"/>
              <w:bottom w:val="single" w:sz="4" w:space="0" w:color="95B3D7"/>
              <w:right w:val="nil"/>
            </w:tcBorders>
            <w:shd w:val="clear" w:color="auto" w:fill="auto"/>
            <w:noWrap/>
            <w:vAlign w:val="bottom"/>
            <w:hideMark/>
          </w:tcPr>
          <w:p w:rsidR="00D67221" w:rsidRPr="00125B39" w:rsidRDefault="00D67221" w:rsidP="00D74907">
            <w:pPr>
              <w:spacing w:after="0" w:line="240" w:lineRule="auto"/>
              <w:rPr>
                <w:rFonts w:ascii="Calibri" w:eastAsia="Times New Roman" w:hAnsi="Calibri" w:cs="Calibri"/>
                <w:color w:val="000000"/>
                <w:lang w:eastAsia="en-GB"/>
              </w:rPr>
            </w:pPr>
            <w:r w:rsidRPr="00125B39">
              <w:rPr>
                <w:rFonts w:ascii="Calibri" w:eastAsia="Times New Roman" w:hAnsi="Calibri" w:cs="Calibri"/>
                <w:color w:val="000000"/>
                <w:lang w:eastAsia="en-GB"/>
              </w:rPr>
              <w:t>Cardiff University</w:t>
            </w:r>
          </w:p>
        </w:tc>
        <w:tc>
          <w:tcPr>
            <w:tcW w:w="1160" w:type="dxa"/>
            <w:tcBorders>
              <w:top w:val="single" w:sz="4" w:space="0" w:color="95B3D7"/>
              <w:left w:val="nil"/>
              <w:bottom w:val="single" w:sz="4" w:space="0" w:color="95B3D7"/>
              <w:right w:val="nil"/>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69.33</w:t>
            </w:r>
          </w:p>
        </w:tc>
        <w:tc>
          <w:tcPr>
            <w:tcW w:w="1276" w:type="dxa"/>
            <w:tcBorders>
              <w:top w:val="single" w:sz="4" w:space="0" w:color="95B3D7"/>
              <w:left w:val="nil"/>
              <w:bottom w:val="single" w:sz="4" w:space="0" w:color="95B3D7"/>
              <w:right w:val="nil"/>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0.2580321</w:t>
            </w:r>
          </w:p>
        </w:tc>
        <w:tc>
          <w:tcPr>
            <w:tcW w:w="1160" w:type="dxa"/>
            <w:tcBorders>
              <w:top w:val="single" w:sz="4" w:space="0" w:color="95B3D7"/>
              <w:left w:val="nil"/>
              <w:bottom w:val="single" w:sz="4" w:space="0" w:color="95B3D7"/>
              <w:right w:val="nil"/>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6</w:t>
            </w:r>
          </w:p>
        </w:tc>
        <w:tc>
          <w:tcPr>
            <w:tcW w:w="1420" w:type="dxa"/>
            <w:tcBorders>
              <w:top w:val="single" w:sz="4" w:space="0" w:color="95B3D7"/>
              <w:left w:val="nil"/>
              <w:bottom w:val="single" w:sz="4" w:space="0" w:color="95B3D7"/>
              <w:right w:val="single" w:sz="4" w:space="0" w:color="95B3D7"/>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78.78409091</w:t>
            </w:r>
          </w:p>
        </w:tc>
      </w:tr>
      <w:tr w:rsidR="00D67221" w:rsidRPr="00125B39" w:rsidTr="00D74907">
        <w:trPr>
          <w:trHeight w:val="300"/>
          <w:jc w:val="center"/>
        </w:trPr>
        <w:tc>
          <w:tcPr>
            <w:tcW w:w="3880" w:type="dxa"/>
            <w:tcBorders>
              <w:top w:val="single" w:sz="4" w:space="0" w:color="95B3D7"/>
              <w:left w:val="single" w:sz="4" w:space="0" w:color="95B3D7"/>
              <w:bottom w:val="single" w:sz="4" w:space="0" w:color="95B3D7"/>
              <w:right w:val="nil"/>
            </w:tcBorders>
            <w:shd w:val="clear" w:color="DCE6F1" w:fill="DCE6F1"/>
            <w:noWrap/>
            <w:vAlign w:val="bottom"/>
            <w:hideMark/>
          </w:tcPr>
          <w:p w:rsidR="00D67221" w:rsidRPr="00125B39" w:rsidRDefault="00D67221" w:rsidP="00D74907">
            <w:pPr>
              <w:spacing w:after="0" w:line="240" w:lineRule="auto"/>
              <w:rPr>
                <w:rFonts w:ascii="Calibri" w:eastAsia="Times New Roman" w:hAnsi="Calibri" w:cs="Calibri"/>
                <w:color w:val="000000"/>
                <w:lang w:eastAsia="en-GB"/>
              </w:rPr>
            </w:pPr>
            <w:r w:rsidRPr="00125B39">
              <w:rPr>
                <w:rFonts w:ascii="Calibri" w:eastAsia="Times New Roman" w:hAnsi="Calibri" w:cs="Calibri"/>
                <w:color w:val="000000"/>
                <w:lang w:eastAsia="en-GB"/>
              </w:rPr>
              <w:t>University of Bristol</w:t>
            </w:r>
          </w:p>
        </w:tc>
        <w:tc>
          <w:tcPr>
            <w:tcW w:w="1160"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68.81</w:t>
            </w:r>
          </w:p>
        </w:tc>
        <w:tc>
          <w:tcPr>
            <w:tcW w:w="1276"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0.23281524</w:t>
            </w:r>
          </w:p>
        </w:tc>
        <w:tc>
          <w:tcPr>
            <w:tcW w:w="1160"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7</w:t>
            </w:r>
          </w:p>
        </w:tc>
        <w:tc>
          <w:tcPr>
            <w:tcW w:w="1420" w:type="dxa"/>
            <w:tcBorders>
              <w:top w:val="single" w:sz="4" w:space="0" w:color="95B3D7"/>
              <w:left w:val="nil"/>
              <w:bottom w:val="single" w:sz="4" w:space="0" w:color="95B3D7"/>
              <w:right w:val="single" w:sz="4" w:space="0" w:color="95B3D7"/>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87.10126582</w:t>
            </w:r>
          </w:p>
        </w:tc>
      </w:tr>
      <w:tr w:rsidR="00D67221" w:rsidRPr="00125B39" w:rsidTr="00D74907">
        <w:trPr>
          <w:trHeight w:val="300"/>
          <w:jc w:val="center"/>
        </w:trPr>
        <w:tc>
          <w:tcPr>
            <w:tcW w:w="3880" w:type="dxa"/>
            <w:tcBorders>
              <w:top w:val="single" w:sz="4" w:space="0" w:color="95B3D7"/>
              <w:left w:val="single" w:sz="4" w:space="0" w:color="95B3D7"/>
              <w:bottom w:val="single" w:sz="4" w:space="0" w:color="95B3D7"/>
              <w:right w:val="nil"/>
            </w:tcBorders>
            <w:shd w:val="clear" w:color="000000" w:fill="FFFF00"/>
            <w:noWrap/>
            <w:vAlign w:val="bottom"/>
            <w:hideMark/>
          </w:tcPr>
          <w:p w:rsidR="00D67221" w:rsidRPr="00125B39" w:rsidRDefault="00D67221" w:rsidP="00D74907">
            <w:pPr>
              <w:spacing w:after="0" w:line="240" w:lineRule="auto"/>
              <w:rPr>
                <w:rFonts w:ascii="Calibri" w:eastAsia="Times New Roman" w:hAnsi="Calibri" w:cs="Calibri"/>
                <w:color w:val="000000"/>
                <w:lang w:eastAsia="en-GB"/>
              </w:rPr>
            </w:pPr>
            <w:r w:rsidRPr="00125B39">
              <w:rPr>
                <w:rFonts w:ascii="Calibri" w:eastAsia="Times New Roman" w:hAnsi="Calibri" w:cs="Calibri"/>
                <w:color w:val="000000"/>
                <w:lang w:eastAsia="en-GB"/>
              </w:rPr>
              <w:t>University of Manchester</w:t>
            </w:r>
          </w:p>
        </w:tc>
        <w:tc>
          <w:tcPr>
            <w:tcW w:w="1160" w:type="dxa"/>
            <w:tcBorders>
              <w:top w:val="single" w:sz="4" w:space="0" w:color="95B3D7"/>
              <w:left w:val="nil"/>
              <w:bottom w:val="single" w:sz="4" w:space="0" w:color="95B3D7"/>
              <w:right w:val="nil"/>
            </w:tcBorders>
            <w:shd w:val="clear" w:color="000000" w:fill="FFFF00"/>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67.7</w:t>
            </w:r>
          </w:p>
        </w:tc>
        <w:tc>
          <w:tcPr>
            <w:tcW w:w="1276" w:type="dxa"/>
            <w:tcBorders>
              <w:top w:val="single" w:sz="4" w:space="0" w:color="95B3D7"/>
              <w:left w:val="nil"/>
              <w:bottom w:val="single" w:sz="4" w:space="0" w:color="95B3D7"/>
              <w:right w:val="nil"/>
            </w:tcBorders>
            <w:shd w:val="clear" w:color="000000" w:fill="FFFF00"/>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0.23120705</w:t>
            </w:r>
          </w:p>
        </w:tc>
        <w:tc>
          <w:tcPr>
            <w:tcW w:w="1160" w:type="dxa"/>
            <w:tcBorders>
              <w:top w:val="single" w:sz="4" w:space="0" w:color="95B3D7"/>
              <w:left w:val="nil"/>
              <w:bottom w:val="single" w:sz="4" w:space="0" w:color="95B3D7"/>
              <w:right w:val="nil"/>
            </w:tcBorders>
            <w:shd w:val="clear" w:color="000000" w:fill="FFFF00"/>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8</w:t>
            </w:r>
          </w:p>
        </w:tc>
        <w:tc>
          <w:tcPr>
            <w:tcW w:w="1420" w:type="dxa"/>
            <w:tcBorders>
              <w:top w:val="single" w:sz="4" w:space="0" w:color="95B3D7"/>
              <w:left w:val="nil"/>
              <w:bottom w:val="single" w:sz="4" w:space="0" w:color="95B3D7"/>
              <w:right w:val="single" w:sz="4" w:space="0" w:color="95B3D7"/>
            </w:tcBorders>
            <w:shd w:val="clear" w:color="000000" w:fill="FFFF00"/>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80.5952381</w:t>
            </w:r>
          </w:p>
        </w:tc>
      </w:tr>
      <w:tr w:rsidR="00D67221" w:rsidRPr="00125B39" w:rsidTr="00D74907">
        <w:trPr>
          <w:trHeight w:val="300"/>
          <w:jc w:val="center"/>
        </w:trPr>
        <w:tc>
          <w:tcPr>
            <w:tcW w:w="3880" w:type="dxa"/>
            <w:tcBorders>
              <w:top w:val="single" w:sz="4" w:space="0" w:color="95B3D7"/>
              <w:left w:val="single" w:sz="4" w:space="0" w:color="95B3D7"/>
              <w:bottom w:val="single" w:sz="4" w:space="0" w:color="95B3D7"/>
              <w:right w:val="nil"/>
            </w:tcBorders>
            <w:shd w:val="clear" w:color="DCE6F1" w:fill="DCE6F1"/>
            <w:noWrap/>
            <w:vAlign w:val="bottom"/>
            <w:hideMark/>
          </w:tcPr>
          <w:p w:rsidR="00D67221" w:rsidRPr="00125B39" w:rsidRDefault="00D67221" w:rsidP="00D74907">
            <w:pPr>
              <w:spacing w:after="0" w:line="240" w:lineRule="auto"/>
              <w:rPr>
                <w:rFonts w:ascii="Calibri" w:eastAsia="Times New Roman" w:hAnsi="Calibri" w:cs="Calibri"/>
                <w:color w:val="000000"/>
                <w:lang w:eastAsia="en-GB"/>
              </w:rPr>
            </w:pPr>
            <w:r w:rsidRPr="00125B39">
              <w:rPr>
                <w:rFonts w:ascii="Calibri" w:eastAsia="Times New Roman" w:hAnsi="Calibri" w:cs="Calibri"/>
                <w:color w:val="000000"/>
                <w:lang w:eastAsia="en-GB"/>
              </w:rPr>
              <w:t>Newcastle University</w:t>
            </w:r>
          </w:p>
        </w:tc>
        <w:tc>
          <w:tcPr>
            <w:tcW w:w="1160"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51.58</w:t>
            </w:r>
          </w:p>
        </w:tc>
        <w:tc>
          <w:tcPr>
            <w:tcW w:w="1276"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0.18378968</w:t>
            </w:r>
          </w:p>
        </w:tc>
        <w:tc>
          <w:tcPr>
            <w:tcW w:w="1160" w:type="dxa"/>
            <w:tcBorders>
              <w:top w:val="single" w:sz="4" w:space="0" w:color="95B3D7"/>
              <w:left w:val="nil"/>
              <w:bottom w:val="single" w:sz="4" w:space="0" w:color="95B3D7"/>
              <w:right w:val="nil"/>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9</w:t>
            </w:r>
          </w:p>
        </w:tc>
        <w:tc>
          <w:tcPr>
            <w:tcW w:w="1420" w:type="dxa"/>
            <w:tcBorders>
              <w:top w:val="single" w:sz="4" w:space="0" w:color="95B3D7"/>
              <w:left w:val="nil"/>
              <w:bottom w:val="single" w:sz="4" w:space="0" w:color="95B3D7"/>
              <w:right w:val="single" w:sz="4" w:space="0" w:color="95B3D7"/>
            </w:tcBorders>
            <w:shd w:val="clear" w:color="DCE6F1" w:fill="DCE6F1"/>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79.35384615</w:t>
            </w:r>
          </w:p>
        </w:tc>
      </w:tr>
      <w:tr w:rsidR="00D67221" w:rsidRPr="00125B39" w:rsidTr="00D74907">
        <w:trPr>
          <w:trHeight w:val="300"/>
          <w:jc w:val="center"/>
        </w:trPr>
        <w:tc>
          <w:tcPr>
            <w:tcW w:w="3880" w:type="dxa"/>
            <w:tcBorders>
              <w:top w:val="single" w:sz="4" w:space="0" w:color="95B3D7"/>
              <w:left w:val="single" w:sz="4" w:space="0" w:color="95B3D7"/>
              <w:bottom w:val="single" w:sz="4" w:space="0" w:color="95B3D7"/>
              <w:right w:val="nil"/>
            </w:tcBorders>
            <w:shd w:val="clear" w:color="auto" w:fill="auto"/>
            <w:noWrap/>
            <w:vAlign w:val="bottom"/>
            <w:hideMark/>
          </w:tcPr>
          <w:p w:rsidR="00D67221" w:rsidRPr="00125B39" w:rsidRDefault="00D67221" w:rsidP="00D74907">
            <w:pPr>
              <w:spacing w:after="0" w:line="240" w:lineRule="auto"/>
              <w:rPr>
                <w:rFonts w:ascii="Calibri" w:eastAsia="Times New Roman" w:hAnsi="Calibri" w:cs="Calibri"/>
                <w:color w:val="000000"/>
                <w:lang w:eastAsia="en-GB"/>
              </w:rPr>
            </w:pPr>
            <w:r w:rsidRPr="00125B39">
              <w:rPr>
                <w:rFonts w:ascii="Calibri" w:eastAsia="Times New Roman" w:hAnsi="Calibri" w:cs="Calibri"/>
                <w:color w:val="000000"/>
                <w:lang w:eastAsia="en-GB"/>
              </w:rPr>
              <w:t>University of Nottingham</w:t>
            </w:r>
          </w:p>
        </w:tc>
        <w:tc>
          <w:tcPr>
            <w:tcW w:w="1160" w:type="dxa"/>
            <w:tcBorders>
              <w:top w:val="single" w:sz="4" w:space="0" w:color="95B3D7"/>
              <w:left w:val="nil"/>
              <w:bottom w:val="single" w:sz="4" w:space="0" w:color="95B3D7"/>
              <w:right w:val="nil"/>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53.2</w:t>
            </w:r>
          </w:p>
        </w:tc>
        <w:tc>
          <w:tcPr>
            <w:tcW w:w="1276" w:type="dxa"/>
            <w:tcBorders>
              <w:top w:val="single" w:sz="4" w:space="0" w:color="95B3D7"/>
              <w:left w:val="nil"/>
              <w:bottom w:val="single" w:sz="4" w:space="0" w:color="95B3D7"/>
              <w:right w:val="nil"/>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0.17943708</w:t>
            </w:r>
          </w:p>
        </w:tc>
        <w:tc>
          <w:tcPr>
            <w:tcW w:w="1160" w:type="dxa"/>
            <w:tcBorders>
              <w:top w:val="single" w:sz="4" w:space="0" w:color="95B3D7"/>
              <w:left w:val="nil"/>
              <w:bottom w:val="single" w:sz="4" w:space="0" w:color="95B3D7"/>
              <w:right w:val="nil"/>
            </w:tcBorders>
            <w:shd w:val="clear" w:color="auto" w:fill="auto"/>
            <w:noWrap/>
            <w:vAlign w:val="bottom"/>
            <w:hideMark/>
          </w:tcPr>
          <w:p w:rsidR="00D67221" w:rsidRPr="00125B39" w:rsidRDefault="00D67221" w:rsidP="00D74907">
            <w:pPr>
              <w:spacing w:after="0" w:line="240" w:lineRule="auto"/>
              <w:rPr>
                <w:rFonts w:ascii="Calibri" w:eastAsia="Times New Roman" w:hAnsi="Calibri" w:cs="Calibri"/>
                <w:color w:val="000000"/>
                <w:lang w:eastAsia="en-GB"/>
              </w:rPr>
            </w:pPr>
          </w:p>
        </w:tc>
        <w:tc>
          <w:tcPr>
            <w:tcW w:w="1420" w:type="dxa"/>
            <w:tcBorders>
              <w:top w:val="single" w:sz="4" w:space="0" w:color="95B3D7"/>
              <w:left w:val="nil"/>
              <w:bottom w:val="single" w:sz="4" w:space="0" w:color="95B3D7"/>
              <w:right w:val="single" w:sz="4" w:space="0" w:color="95B3D7"/>
            </w:tcBorders>
            <w:shd w:val="clear" w:color="auto" w:fill="auto"/>
            <w:noWrap/>
            <w:vAlign w:val="bottom"/>
            <w:hideMark/>
          </w:tcPr>
          <w:p w:rsidR="00D67221" w:rsidRPr="00125B39" w:rsidRDefault="00D67221" w:rsidP="00D74907">
            <w:pPr>
              <w:spacing w:after="0" w:line="240" w:lineRule="auto"/>
              <w:jc w:val="right"/>
              <w:rPr>
                <w:rFonts w:ascii="Calibri" w:eastAsia="Times New Roman" w:hAnsi="Calibri" w:cs="Calibri"/>
                <w:color w:val="000000"/>
                <w:lang w:eastAsia="en-GB"/>
              </w:rPr>
            </w:pPr>
            <w:r w:rsidRPr="00125B39">
              <w:rPr>
                <w:rFonts w:ascii="Calibri" w:eastAsia="Times New Roman" w:hAnsi="Calibri" w:cs="Calibri"/>
                <w:color w:val="000000"/>
                <w:lang w:eastAsia="en-GB"/>
              </w:rPr>
              <w:t>69.09090909</w:t>
            </w:r>
          </w:p>
        </w:tc>
      </w:tr>
    </w:tbl>
    <w:p w:rsidR="00D67221" w:rsidRDefault="00D67221" w:rsidP="00D67221">
      <w:pPr>
        <w:jc w:val="both"/>
      </w:pPr>
    </w:p>
    <w:p w:rsidR="00D67221" w:rsidRDefault="00D67221" w:rsidP="00D67221">
      <w:pPr>
        <w:jc w:val="both"/>
      </w:pPr>
      <w:proofErr w:type="spellStart"/>
      <w:r>
        <w:t>UoM</w:t>
      </w:r>
      <w:proofErr w:type="spellEnd"/>
      <w:r>
        <w:t xml:space="preserve"> </w:t>
      </w:r>
      <w:proofErr w:type="spellStart"/>
      <w:r>
        <w:t>UoA</w:t>
      </w:r>
      <w:proofErr w:type="spellEnd"/>
      <w:r>
        <w:t xml:space="preserve"> 4 overall GPA was 3.23, with the sector average being 3.12, and ranks joint 19</w:t>
      </w:r>
      <w:r w:rsidRPr="007853BD">
        <w:rPr>
          <w:vertAlign w:val="superscript"/>
        </w:rPr>
        <w:t>th</w:t>
      </w:r>
      <w:r>
        <w:t xml:space="preserve"> with Aberdeen. On intensity -weighted GPA, </w:t>
      </w:r>
      <w:proofErr w:type="spellStart"/>
      <w:r>
        <w:t>UoM</w:t>
      </w:r>
      <w:proofErr w:type="spellEnd"/>
      <w:r>
        <w:t xml:space="preserve"> overall GPA was 2.60, with the sector average being 2.01, and ranks joint 20</w:t>
      </w:r>
      <w:r w:rsidRPr="00752B6D">
        <w:rPr>
          <w:vertAlign w:val="superscript"/>
        </w:rPr>
        <w:t>th</w:t>
      </w:r>
      <w:r>
        <w:t xml:space="preserve"> with Exeter. The percentage of eligible staff submitted was 81% with the national profile average being 64%.</w:t>
      </w:r>
    </w:p>
    <w:p w:rsidR="00D67221" w:rsidRDefault="00D67221" w:rsidP="00D67221">
      <w:pPr>
        <w:jc w:val="both"/>
      </w:pPr>
      <w:r>
        <w:t>Details of submission:</w:t>
      </w:r>
    </w:p>
    <w:p w:rsidR="00D67221" w:rsidRDefault="00D67221" w:rsidP="00D67221">
      <w:pPr>
        <w:jc w:val="both"/>
      </w:pPr>
      <w:r>
        <w:t>Number of eligible staff returned and FTE value: 77 at 67.7 FTE</w:t>
      </w:r>
    </w:p>
    <w:p w:rsidR="00D67221" w:rsidRDefault="00D67221" w:rsidP="00D67221">
      <w:pPr>
        <w:jc w:val="both"/>
      </w:pPr>
      <w:r>
        <w:t>Number of early career researchers (ECRs) returned: 11</w:t>
      </w:r>
    </w:p>
    <w:p w:rsidR="00D67221" w:rsidRDefault="00D67221" w:rsidP="00D67221">
      <w:pPr>
        <w:jc w:val="both"/>
      </w:pPr>
      <w:r>
        <w:t>Number of eligible staff excluded: 18</w:t>
      </w:r>
    </w:p>
    <w:p w:rsidR="00D67221" w:rsidRDefault="00D67221" w:rsidP="00D67221">
      <w:pPr>
        <w:jc w:val="both"/>
      </w:pPr>
      <w:r>
        <w:t>Submission rate: 81%</w:t>
      </w:r>
    </w:p>
    <w:p w:rsidR="00D67221" w:rsidRDefault="00D67221" w:rsidP="00D67221">
      <w:pPr>
        <w:jc w:val="both"/>
      </w:pPr>
      <w:r>
        <w:t xml:space="preserve">Number of outputs returned: 275 </w:t>
      </w:r>
    </w:p>
    <w:p w:rsidR="00D67221" w:rsidRDefault="00D67221" w:rsidP="00D67221">
      <w:r>
        <w:t>Standard Grade Point Average (where an output of 4* scores 4 units, an output of 3* scores 3 units etc.): 3.236</w:t>
      </w:r>
    </w:p>
    <w:p w:rsidR="00D67221" w:rsidRDefault="00D67221" w:rsidP="00D67221">
      <w:r>
        <w:t>Weighted Grade Point Average (where an output of 4* scores 3 units and an output of 3* scores 1 unit; 2* outputs and below score no units): 1.509</w:t>
      </w:r>
    </w:p>
    <w:p w:rsidR="00D67221" w:rsidRDefault="00D67221" w:rsidP="00D67221">
      <w:pPr>
        <w:jc w:val="both"/>
      </w:pPr>
      <w:r>
        <w:t>Number of impact case studies returned: 8</w:t>
      </w:r>
    </w:p>
    <w:p w:rsidR="00D67221" w:rsidRDefault="00D67221" w:rsidP="00D67221">
      <w:pPr>
        <w:jc w:val="both"/>
        <w:rPr>
          <w:rFonts w:cs="Arial"/>
        </w:rPr>
      </w:pPr>
      <w:r>
        <w:rPr>
          <w:rFonts w:cs="Arial"/>
        </w:rPr>
        <w:t xml:space="preserve">The impact </w:t>
      </w:r>
      <w:r w:rsidRPr="001C74C8">
        <w:rPr>
          <w:rFonts w:cs="Arial"/>
        </w:rPr>
        <w:t xml:space="preserve">case studies </w:t>
      </w:r>
      <w:r>
        <w:rPr>
          <w:rFonts w:cs="Arial"/>
        </w:rPr>
        <w:t>were selected as they show how this unit changes practice, influences policy and engages with policy makers, and builds on relationships with healthcare practitioners and industry. Authors and case studies submitted were:</w:t>
      </w:r>
    </w:p>
    <w:p w:rsidR="00D67221" w:rsidRDefault="00D67221" w:rsidP="00D67221">
      <w:pPr>
        <w:jc w:val="both"/>
      </w:pPr>
      <w:r>
        <w:t xml:space="preserve">Audrey </w:t>
      </w:r>
      <w:r w:rsidRPr="00931C7C">
        <w:rPr>
          <w:b/>
        </w:rPr>
        <w:t>Bowen</w:t>
      </w:r>
      <w:r>
        <w:t xml:space="preserve">: </w:t>
      </w:r>
      <w:r w:rsidRPr="00A42056">
        <w:rPr>
          <w:i/>
        </w:rPr>
        <w:t xml:space="preserve">ACT </w:t>
      </w:r>
      <w:proofErr w:type="spellStart"/>
      <w:r w:rsidRPr="00A42056">
        <w:rPr>
          <w:i/>
        </w:rPr>
        <w:t>NoW</w:t>
      </w:r>
      <w:proofErr w:type="spellEnd"/>
      <w:r w:rsidRPr="00A42056">
        <w:rPr>
          <w:i/>
        </w:rPr>
        <w:t>: Clinical guidelines for stroke services</w:t>
      </w:r>
      <w:r>
        <w:t xml:space="preserve">; Geoff </w:t>
      </w:r>
      <w:r w:rsidRPr="00931C7C">
        <w:rPr>
          <w:b/>
        </w:rPr>
        <w:t>Parker</w:t>
      </w:r>
      <w:r>
        <w:t xml:space="preserve">: </w:t>
      </w:r>
      <w:r w:rsidRPr="00A42056">
        <w:rPr>
          <w:i/>
        </w:rPr>
        <w:t>BIOXYDYN: Magnetic Resonance Imaging Biomarkers</w:t>
      </w:r>
      <w:r>
        <w:t xml:space="preserve">; Shon </w:t>
      </w:r>
      <w:r w:rsidRPr="00931C7C">
        <w:rPr>
          <w:b/>
        </w:rPr>
        <w:t>Lewis</w:t>
      </w:r>
      <w:r w:rsidRPr="00A42056">
        <w:rPr>
          <w:i/>
        </w:rPr>
        <w:t xml:space="preserve">: </w:t>
      </w:r>
      <w:proofErr w:type="spellStart"/>
      <w:r w:rsidRPr="00A42056">
        <w:rPr>
          <w:i/>
        </w:rPr>
        <w:t>CUtLASS</w:t>
      </w:r>
      <w:proofErr w:type="spellEnd"/>
      <w:r w:rsidRPr="00A42056">
        <w:rPr>
          <w:i/>
        </w:rPr>
        <w:t>: Changing attitudes and prescribing practice: cost effectiveness of first versus second generation antipsychotic drugs in people with schizophrenia</w:t>
      </w:r>
      <w:r>
        <w:t xml:space="preserve">; Kirsten </w:t>
      </w:r>
      <w:proofErr w:type="spellStart"/>
      <w:r w:rsidRPr="00931C7C">
        <w:rPr>
          <w:b/>
        </w:rPr>
        <w:t>Windfuhr</w:t>
      </w:r>
      <w:proofErr w:type="spellEnd"/>
      <w:r>
        <w:t>/</w:t>
      </w:r>
      <w:proofErr w:type="spellStart"/>
      <w:r>
        <w:t>Nav</w:t>
      </w:r>
      <w:proofErr w:type="spellEnd"/>
      <w:r>
        <w:t xml:space="preserve"> </w:t>
      </w:r>
      <w:proofErr w:type="spellStart"/>
      <w:r w:rsidRPr="00931C7C">
        <w:rPr>
          <w:b/>
        </w:rPr>
        <w:t>Kapur</w:t>
      </w:r>
      <w:proofErr w:type="spellEnd"/>
      <w:r>
        <w:t xml:space="preserve">: </w:t>
      </w:r>
      <w:r w:rsidRPr="00A42056">
        <w:rPr>
          <w:i/>
        </w:rPr>
        <w:t>National Confidential Inquiry into Suicide and Homicide by People with Mental Illness</w:t>
      </w:r>
      <w:r>
        <w:t xml:space="preserve">; Rachel </w:t>
      </w:r>
      <w:proofErr w:type="spellStart"/>
      <w:r w:rsidRPr="00931C7C">
        <w:rPr>
          <w:b/>
        </w:rPr>
        <w:t>Calam</w:t>
      </w:r>
      <w:proofErr w:type="spellEnd"/>
      <w:r>
        <w:t xml:space="preserve">: </w:t>
      </w:r>
      <w:r w:rsidRPr="00A42056">
        <w:rPr>
          <w:i/>
        </w:rPr>
        <w:t>PARENTING+: Using media-based dissemination of intervention to improve parenting and prevent dysfunction</w:t>
      </w:r>
      <w:r>
        <w:t xml:space="preserve">; Linda </w:t>
      </w:r>
      <w:proofErr w:type="spellStart"/>
      <w:r w:rsidRPr="00931C7C">
        <w:rPr>
          <w:b/>
        </w:rPr>
        <w:t>Gask</w:t>
      </w:r>
      <w:proofErr w:type="spellEnd"/>
      <w:r>
        <w:t xml:space="preserve">: </w:t>
      </w:r>
      <w:r w:rsidRPr="00A42056">
        <w:rPr>
          <w:i/>
        </w:rPr>
        <w:t>STORM: Skills Training and Risk Management</w:t>
      </w:r>
      <w:r>
        <w:t xml:space="preserve">;  Max </w:t>
      </w:r>
      <w:r w:rsidRPr="00931C7C">
        <w:rPr>
          <w:b/>
        </w:rPr>
        <w:t>Marshall</w:t>
      </w:r>
      <w:r>
        <w:t xml:space="preserve">: </w:t>
      </w:r>
      <w:r w:rsidRPr="00A42056">
        <w:rPr>
          <w:i/>
        </w:rPr>
        <w:t>Socio-economic impact of reducing the duration of untreated psychosis</w:t>
      </w:r>
      <w:r>
        <w:t xml:space="preserve">; Gill </w:t>
      </w:r>
      <w:r w:rsidRPr="00931C7C">
        <w:rPr>
          <w:b/>
        </w:rPr>
        <w:t>Haddock</w:t>
      </w:r>
      <w:r>
        <w:t xml:space="preserve">: </w:t>
      </w:r>
      <w:r w:rsidRPr="00A42056">
        <w:rPr>
          <w:i/>
        </w:rPr>
        <w:t>Transforming psychological healthcare delivery for people with schizophrenia</w:t>
      </w:r>
      <w:r>
        <w:t xml:space="preserve">. </w:t>
      </w:r>
    </w:p>
    <w:p w:rsidR="00413CAF" w:rsidRDefault="00D67221"/>
    <w:sectPr w:rsidR="00413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221"/>
    <w:rsid w:val="005058D2"/>
    <w:rsid w:val="00830B43"/>
    <w:rsid w:val="008B68F7"/>
    <w:rsid w:val="00D67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2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Kear</dc:creator>
  <cp:lastModifiedBy>Jane Kear</cp:lastModifiedBy>
  <cp:revision>1</cp:revision>
  <dcterms:created xsi:type="dcterms:W3CDTF">2015-06-09T11:43:00Z</dcterms:created>
  <dcterms:modified xsi:type="dcterms:W3CDTF">2015-06-09T11:44:00Z</dcterms:modified>
</cp:coreProperties>
</file>