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94" w:rsidRPr="00231ADB" w:rsidRDefault="00FD5394" w:rsidP="00FD5394">
      <w:pPr>
        <w:rPr>
          <w:b/>
          <w:u w:val="single"/>
        </w:rPr>
      </w:pPr>
      <w:proofErr w:type="spellStart"/>
      <w:r w:rsidRPr="00231ADB">
        <w:rPr>
          <w:b/>
          <w:u w:val="single"/>
        </w:rPr>
        <w:t>UoA</w:t>
      </w:r>
      <w:proofErr w:type="spellEnd"/>
      <w:r w:rsidRPr="00231ADB">
        <w:rPr>
          <w:b/>
          <w:u w:val="single"/>
        </w:rPr>
        <w:t xml:space="preserve"> 3 – Allied Health Professions, Dentistry, Nursing and Pharmacy</w:t>
      </w:r>
    </w:p>
    <w:p w:rsidR="00FD5394" w:rsidRDefault="00FD5394" w:rsidP="00FD5394">
      <w:pPr>
        <w:jc w:val="both"/>
      </w:pPr>
      <w:r>
        <w:t>REF2014 Research Activity Profile with national weighted average in brackets:</w:t>
      </w:r>
    </w:p>
    <w:p w:rsidR="00FD5394" w:rsidRPr="00E04B97" w:rsidRDefault="00FD5394" w:rsidP="00FD5394">
      <w:r w:rsidRPr="00B830B8">
        <w:rPr>
          <w:noProof/>
          <w:lang w:eastAsia="en-GB"/>
        </w:rPr>
        <w:drawing>
          <wp:inline distT="0" distB="0" distL="0" distR="0" wp14:anchorId="0E48448F" wp14:editId="057AD31B">
            <wp:extent cx="5731510" cy="9921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394" w:rsidRDefault="00FD5394" w:rsidP="00FD5394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E743FB">
        <w:rPr>
          <w:rFonts w:ascii="Calibri" w:eastAsia="Times New Roman" w:hAnsi="Calibri" w:cs="Calibri"/>
          <w:color w:val="000000"/>
          <w:lang w:eastAsia="en-GB"/>
        </w:rPr>
        <w:t xml:space="preserve">REFPE </w:t>
      </w:r>
      <w:r>
        <w:rPr>
          <w:rFonts w:ascii="Calibri" w:eastAsia="Times New Roman" w:hAnsi="Calibri" w:cs="Calibri"/>
          <w:color w:val="000000"/>
          <w:lang w:eastAsia="en-GB"/>
        </w:rPr>
        <w:t xml:space="preserve">output </w:t>
      </w:r>
      <w:r w:rsidRPr="00E743FB">
        <w:rPr>
          <w:rFonts w:ascii="Calibri" w:eastAsia="Times New Roman" w:hAnsi="Calibri" w:cs="Calibri"/>
          <w:color w:val="000000"/>
          <w:lang w:eastAsia="en-GB"/>
        </w:rPr>
        <w:t xml:space="preserve">scores compared to actual REF2014 </w:t>
      </w:r>
      <w:r>
        <w:rPr>
          <w:rFonts w:ascii="Calibri" w:eastAsia="Times New Roman" w:hAnsi="Calibri" w:cs="Calibri"/>
          <w:color w:val="000000"/>
          <w:lang w:eastAsia="en-GB"/>
        </w:rPr>
        <w:t xml:space="preserve">output </w:t>
      </w:r>
      <w:r w:rsidRPr="00E743FB">
        <w:rPr>
          <w:rFonts w:ascii="Calibri" w:eastAsia="Times New Roman" w:hAnsi="Calibri" w:cs="Calibri"/>
          <w:color w:val="000000"/>
          <w:lang w:eastAsia="en-GB"/>
        </w:rPr>
        <w:t>scores obtained</w:t>
      </w:r>
      <w:r>
        <w:rPr>
          <w:rFonts w:ascii="Calibri" w:eastAsia="Times New Roman" w:hAnsi="Calibri" w:cs="Calibri"/>
          <w:color w:val="000000"/>
          <w:lang w:eastAsia="en-GB"/>
        </w:rPr>
        <w:t>:</w:t>
      </w:r>
    </w:p>
    <w:p w:rsidR="00A72380" w:rsidRDefault="00A72380" w:rsidP="00FD5394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tbl>
      <w:tblPr>
        <w:tblW w:w="608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1100"/>
        <w:gridCol w:w="1300"/>
        <w:gridCol w:w="1760"/>
      </w:tblGrid>
      <w:tr w:rsidR="00FD5394" w:rsidRPr="00E743FB" w:rsidTr="00A7238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4F81BD" w:fill="4F81BD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spellStart"/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UoA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4F81BD" w:fill="4F81BD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Grade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4F81BD" w:fill="4F81BD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REFPE %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4F81BD" w:fill="4F81BD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REF2014 %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4F81BD" w:fill="4F81BD"/>
            <w:noWrap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Percentage diff</w:t>
            </w:r>
          </w:p>
        </w:tc>
      </w:tr>
      <w:tr w:rsidR="00FD5394" w:rsidRPr="00E743FB" w:rsidTr="00A72380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auto"/>
              <w:bottom w:val="single" w:sz="4" w:space="0" w:color="95B3D7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4*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37.2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29.4</w:t>
            </w:r>
          </w:p>
        </w:tc>
        <w:tc>
          <w:tcPr>
            <w:tcW w:w="17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FF0000"/>
                <w:lang w:eastAsia="en-GB"/>
              </w:rPr>
              <w:t>-7.8</w:t>
            </w:r>
          </w:p>
        </w:tc>
      </w:tr>
      <w:tr w:rsidR="00FD5394" w:rsidRPr="00E743FB" w:rsidTr="00A72380">
        <w:trPr>
          <w:trHeight w:val="300"/>
        </w:trPr>
        <w:tc>
          <w:tcPr>
            <w:tcW w:w="960" w:type="dxa"/>
            <w:tcBorders>
              <w:top w:val="single" w:sz="4" w:space="0" w:color="95B3D7"/>
              <w:left w:val="single" w:sz="8" w:space="0" w:color="auto"/>
              <w:bottom w:val="single" w:sz="4" w:space="0" w:color="95B3D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3*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60.1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51.9</w:t>
            </w:r>
          </w:p>
        </w:tc>
        <w:tc>
          <w:tcPr>
            <w:tcW w:w="17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FF0000"/>
                <w:lang w:eastAsia="en-GB"/>
              </w:rPr>
              <w:t>-8.2</w:t>
            </w:r>
          </w:p>
        </w:tc>
      </w:tr>
      <w:tr w:rsidR="00FD5394" w:rsidRPr="00E743FB" w:rsidTr="00A72380">
        <w:trPr>
          <w:trHeight w:val="300"/>
        </w:trPr>
        <w:tc>
          <w:tcPr>
            <w:tcW w:w="960" w:type="dxa"/>
            <w:tcBorders>
              <w:top w:val="single" w:sz="4" w:space="0" w:color="95B3D7"/>
              <w:left w:val="single" w:sz="8" w:space="0" w:color="auto"/>
              <w:bottom w:val="single" w:sz="4" w:space="0" w:color="95B3D7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2*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2.3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16.6</w:t>
            </w:r>
          </w:p>
        </w:tc>
        <w:tc>
          <w:tcPr>
            <w:tcW w:w="17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FF0000"/>
                <w:lang w:eastAsia="en-GB"/>
              </w:rPr>
              <w:t>14.3</w:t>
            </w:r>
          </w:p>
        </w:tc>
      </w:tr>
      <w:tr w:rsidR="00FD5394" w:rsidRPr="00E743FB" w:rsidTr="00A72380">
        <w:trPr>
          <w:trHeight w:val="300"/>
        </w:trPr>
        <w:tc>
          <w:tcPr>
            <w:tcW w:w="960" w:type="dxa"/>
            <w:tcBorders>
              <w:top w:val="single" w:sz="4" w:space="0" w:color="95B3D7"/>
              <w:left w:val="single" w:sz="8" w:space="0" w:color="auto"/>
              <w:bottom w:val="single" w:sz="4" w:space="0" w:color="95B3D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1*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1760" w:type="dxa"/>
            <w:tcBorders>
              <w:top w:val="single" w:sz="4" w:space="0" w:color="95B3D7"/>
              <w:left w:val="nil"/>
              <w:bottom w:val="single" w:sz="4" w:space="0" w:color="95B3D7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FF0000"/>
                <w:lang w:eastAsia="en-GB"/>
              </w:rPr>
              <w:t>1.4</w:t>
            </w:r>
          </w:p>
        </w:tc>
      </w:tr>
      <w:tr w:rsidR="00FD5394" w:rsidRPr="00E743FB" w:rsidTr="00A72380">
        <w:trPr>
          <w:trHeight w:val="315"/>
        </w:trPr>
        <w:tc>
          <w:tcPr>
            <w:tcW w:w="960" w:type="dxa"/>
            <w:tcBorders>
              <w:top w:val="single" w:sz="4" w:space="0" w:color="95B3D7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u/c</w:t>
            </w:r>
          </w:p>
        </w:tc>
        <w:tc>
          <w:tcPr>
            <w:tcW w:w="1100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0.5</w:t>
            </w:r>
          </w:p>
        </w:tc>
        <w:tc>
          <w:tcPr>
            <w:tcW w:w="1300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000000"/>
                <w:lang w:eastAsia="en-GB"/>
              </w:rPr>
              <w:t>0.7</w:t>
            </w:r>
          </w:p>
        </w:tc>
        <w:tc>
          <w:tcPr>
            <w:tcW w:w="1760" w:type="dxa"/>
            <w:tcBorders>
              <w:top w:val="single" w:sz="4" w:space="0" w:color="95B3D7"/>
              <w:left w:val="nil"/>
              <w:bottom w:val="single" w:sz="8" w:space="0" w:color="auto"/>
              <w:right w:val="single" w:sz="8" w:space="0" w:color="auto"/>
            </w:tcBorders>
            <w:shd w:val="clear" w:color="DCE6F1" w:fill="DCE6F1"/>
            <w:noWrap/>
            <w:vAlign w:val="center"/>
            <w:hideMark/>
          </w:tcPr>
          <w:p w:rsidR="00FD5394" w:rsidRPr="00E743FB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E743FB">
              <w:rPr>
                <w:rFonts w:ascii="Calibri" w:eastAsia="Times New Roman" w:hAnsi="Calibri" w:cs="Calibri"/>
                <w:color w:val="FF0000"/>
                <w:lang w:eastAsia="en-GB"/>
              </w:rPr>
              <w:t>0.2</w:t>
            </w:r>
          </w:p>
        </w:tc>
      </w:tr>
    </w:tbl>
    <w:p w:rsidR="00FD5394" w:rsidRPr="004D5353" w:rsidRDefault="00FD5394" w:rsidP="00FD5394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</w:p>
    <w:p w:rsidR="00FD5394" w:rsidRDefault="00FD5394" w:rsidP="00FD5394">
      <w:pPr>
        <w:rPr>
          <w:b/>
          <w:u w:val="single"/>
        </w:rPr>
      </w:pPr>
    </w:p>
    <w:p w:rsidR="00FD5394" w:rsidRDefault="00FD5394" w:rsidP="00FD5394">
      <w:pPr>
        <w:jc w:val="both"/>
      </w:pPr>
      <w:r>
        <w:t>For the</w:t>
      </w:r>
      <w:r w:rsidRPr="002F3710">
        <w:rPr>
          <w:b/>
        </w:rPr>
        <w:t xml:space="preserve"> outputs</w:t>
      </w:r>
      <w:r>
        <w:t xml:space="preserve"> 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3 ranks 13</w:t>
      </w:r>
      <w:r w:rsidRPr="003B16E6">
        <w:rPr>
          <w:vertAlign w:val="superscript"/>
        </w:rPr>
        <w:t>th</w:t>
      </w:r>
      <w:r>
        <w:t xml:space="preserve"> in the UK.  </w:t>
      </w:r>
    </w:p>
    <w:p w:rsidR="00FD5394" w:rsidRDefault="00FD5394" w:rsidP="00FD5394">
      <w:pPr>
        <w:jc w:val="both"/>
      </w:pPr>
      <w:r>
        <w:t xml:space="preserve">For the </w:t>
      </w:r>
      <w:r w:rsidRPr="002F3710">
        <w:rPr>
          <w:b/>
        </w:rPr>
        <w:t xml:space="preserve">impact </w:t>
      </w:r>
      <w:r>
        <w:t xml:space="preserve">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3 ranks 5</w:t>
      </w:r>
      <w:r w:rsidRPr="00BB7D42">
        <w:rPr>
          <w:vertAlign w:val="superscript"/>
        </w:rPr>
        <w:t>th</w:t>
      </w:r>
      <w:r>
        <w:t xml:space="preserve"> in the UK. </w:t>
      </w:r>
    </w:p>
    <w:p w:rsidR="00FD5394" w:rsidRDefault="00FD5394" w:rsidP="00FD5394">
      <w:pPr>
        <w:jc w:val="both"/>
      </w:pPr>
      <w:r>
        <w:t xml:space="preserve"> For the </w:t>
      </w:r>
      <w:r w:rsidRPr="002F3710">
        <w:rPr>
          <w:b/>
        </w:rPr>
        <w:t>environment</w:t>
      </w:r>
      <w:r>
        <w:t xml:space="preserve"> scored at 4* </w:t>
      </w:r>
      <w:proofErr w:type="spellStart"/>
      <w:r>
        <w:t>subprofile</w:t>
      </w:r>
      <w:proofErr w:type="spellEnd"/>
      <w:r>
        <w:t xml:space="preserve">, </w:t>
      </w:r>
      <w:proofErr w:type="spellStart"/>
      <w:r>
        <w:t>UoA</w:t>
      </w:r>
      <w:proofErr w:type="spellEnd"/>
      <w:r>
        <w:t xml:space="preserve"> 3 ranks joint 1</w:t>
      </w:r>
      <w:r w:rsidRPr="00711DA1">
        <w:rPr>
          <w:vertAlign w:val="superscript"/>
        </w:rPr>
        <w:t>st</w:t>
      </w:r>
      <w:r>
        <w:t xml:space="preserve"> with 12 other institutions.  </w:t>
      </w:r>
    </w:p>
    <w:p w:rsidR="00FD5394" w:rsidRDefault="00FD5394" w:rsidP="00FD5394">
      <w:pPr>
        <w:jc w:val="both"/>
      </w:pPr>
      <w:r>
        <w:t xml:space="preserve">In terms of </w:t>
      </w:r>
      <w:r w:rsidRPr="00DD6A91">
        <w:rPr>
          <w:b/>
        </w:rPr>
        <w:t>research power</w:t>
      </w:r>
      <w:r>
        <w:t xml:space="preserve">, the </w:t>
      </w:r>
      <w:proofErr w:type="spellStart"/>
      <w:r>
        <w:t>UoM</w:t>
      </w:r>
      <w:proofErr w:type="spellEnd"/>
      <w:r>
        <w:t xml:space="preserve"> was first in the UK with 1.0, followed by KCL with 0.81 and Cardiff with 0.67:</w:t>
      </w:r>
    </w:p>
    <w:tbl>
      <w:tblPr>
        <w:tblW w:w="8821" w:type="dxa"/>
        <w:jc w:val="center"/>
        <w:tblInd w:w="-1763" w:type="dxa"/>
        <w:tblLook w:val="04A0" w:firstRow="1" w:lastRow="0" w:firstColumn="1" w:lastColumn="0" w:noHBand="0" w:noVBand="1"/>
      </w:tblPr>
      <w:tblGrid>
        <w:gridCol w:w="4614"/>
        <w:gridCol w:w="1180"/>
        <w:gridCol w:w="1387"/>
        <w:gridCol w:w="1640"/>
      </w:tblGrid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HEI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Cat A FTE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4F81BD" w:fill="4F81BD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Power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4F81BD" w:fill="4F81BD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b/>
                <w:bCs/>
                <w:color w:val="FFFFFF"/>
                <w:lang w:eastAsia="en-GB"/>
              </w:rPr>
              <w:t>Prop Staff Sub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FFFF00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University of Manchester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00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112.65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00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FFFF00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90.12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King's College London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93.93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0.816553077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80.28205128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Cardiff University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74.95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0.673208897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58.10077519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University of Strathclyde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74.3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0.640051266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89.51807229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University of Ulster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74.1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0.63054389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77.1875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University of Sheffield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64.66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0.596066783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55.74137931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University of Surrey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64.6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0.571760992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62.11538462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Lancaster University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64.4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0.553077159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99.07692308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City University London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67.6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0.543275632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41.72839506</w:t>
            </w:r>
          </w:p>
        </w:tc>
      </w:tr>
      <w:tr w:rsidR="00FD5394" w:rsidRPr="00090C17" w:rsidTr="00A72380">
        <w:trPr>
          <w:trHeight w:val="300"/>
          <w:jc w:val="center"/>
        </w:trPr>
        <w:tc>
          <w:tcPr>
            <w:tcW w:w="461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A72380">
            <w:pPr>
              <w:spacing w:after="0" w:line="240" w:lineRule="auto"/>
              <w:ind w:left="-517" w:firstLine="517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Aston University</w:t>
            </w:r>
          </w:p>
        </w:tc>
        <w:tc>
          <w:tcPr>
            <w:tcW w:w="1180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56.8</w:t>
            </w:r>
          </w:p>
        </w:tc>
        <w:tc>
          <w:tcPr>
            <w:tcW w:w="1387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0.502724835</w:t>
            </w:r>
          </w:p>
        </w:tc>
        <w:tc>
          <w:tcPr>
            <w:tcW w:w="1640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FD5394" w:rsidRPr="00090C17" w:rsidRDefault="00FD5394" w:rsidP="00D749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90C17">
              <w:rPr>
                <w:rFonts w:ascii="Calibri" w:eastAsia="Times New Roman" w:hAnsi="Calibri" w:cs="Calibri"/>
                <w:color w:val="000000"/>
                <w:lang w:eastAsia="en-GB"/>
              </w:rPr>
              <w:t>63.82022472</w:t>
            </w:r>
          </w:p>
        </w:tc>
      </w:tr>
    </w:tbl>
    <w:p w:rsidR="00FD5394" w:rsidRDefault="00FD5394" w:rsidP="00FD5394">
      <w:pPr>
        <w:rPr>
          <w:b/>
          <w:u w:val="single"/>
        </w:rPr>
      </w:pPr>
    </w:p>
    <w:p w:rsidR="00FD5394" w:rsidRPr="007A6073" w:rsidRDefault="00FD5394" w:rsidP="00FD5394">
      <w:pPr>
        <w:jc w:val="both"/>
      </w:pPr>
      <w:proofErr w:type="spellStart"/>
      <w:r>
        <w:t>UoM</w:t>
      </w:r>
      <w:proofErr w:type="spellEnd"/>
      <w:r>
        <w:t xml:space="preserve"> </w:t>
      </w:r>
      <w:proofErr w:type="spellStart"/>
      <w:r>
        <w:t>UoA</w:t>
      </w:r>
      <w:proofErr w:type="spellEnd"/>
      <w:r>
        <w:t xml:space="preserve"> 3 overall </w:t>
      </w:r>
      <w:r w:rsidRPr="00DD6A91">
        <w:rPr>
          <w:b/>
        </w:rPr>
        <w:t xml:space="preserve">GPA </w:t>
      </w:r>
      <w:r>
        <w:t>was 3.38, with the sector average being 3.09</w:t>
      </w:r>
      <w:bookmarkStart w:id="0" w:name="_GoBack"/>
      <w:bookmarkEnd w:id="0"/>
      <w:r>
        <w:t xml:space="preserve">, and ranks 7th. On </w:t>
      </w:r>
      <w:r w:rsidRPr="00DD6A91">
        <w:rPr>
          <w:b/>
        </w:rPr>
        <w:t>intensity-</w:t>
      </w:r>
      <w:r>
        <w:t xml:space="preserve"> </w:t>
      </w:r>
      <w:r w:rsidRPr="00DD6A91">
        <w:rPr>
          <w:b/>
        </w:rPr>
        <w:t>weighted GPA</w:t>
      </w:r>
      <w:r>
        <w:t xml:space="preserve">, </w:t>
      </w:r>
      <w:proofErr w:type="spellStart"/>
      <w:r>
        <w:t>UoM</w:t>
      </w:r>
      <w:proofErr w:type="spellEnd"/>
      <w:r>
        <w:t xml:space="preserve"> overall GPA was 3.05, with the sector average being 1.01, and ranks 4</w:t>
      </w:r>
      <w:r w:rsidRPr="0078417A">
        <w:rPr>
          <w:vertAlign w:val="superscript"/>
        </w:rPr>
        <w:t>th</w:t>
      </w:r>
      <w:r>
        <w:t>, after Southampton, Queen’s Belfast (A Pharmacy) and Lancaster. The percentage of eligible staff submitted was 90% with the national profile average being 33%.</w:t>
      </w:r>
    </w:p>
    <w:p w:rsidR="00FD5394" w:rsidRDefault="00FD5394" w:rsidP="00FD5394">
      <w:pPr>
        <w:jc w:val="both"/>
      </w:pPr>
      <w:r>
        <w:lastRenderedPageBreak/>
        <w:t>Details of submission:</w:t>
      </w:r>
    </w:p>
    <w:p w:rsidR="00FD5394" w:rsidRDefault="00FD5394" w:rsidP="00FD5394">
      <w:pPr>
        <w:jc w:val="both"/>
      </w:pPr>
      <w:r>
        <w:t>Number of eligible staff returned and FTE value: 121 at 112.65 FTE</w:t>
      </w:r>
    </w:p>
    <w:p w:rsidR="00FD5394" w:rsidRDefault="00FD5394" w:rsidP="00FD5394">
      <w:pPr>
        <w:jc w:val="both"/>
      </w:pPr>
      <w:r>
        <w:t>Number of early career researchers (ECRs) returned: 15</w:t>
      </w:r>
    </w:p>
    <w:p w:rsidR="00FD5394" w:rsidRDefault="00FD5394" w:rsidP="00FD5394">
      <w:pPr>
        <w:jc w:val="both"/>
      </w:pPr>
      <w:r>
        <w:t>Number of eligible staff excluded: 14</w:t>
      </w:r>
    </w:p>
    <w:p w:rsidR="00FD5394" w:rsidRDefault="00FD5394" w:rsidP="00FD5394">
      <w:pPr>
        <w:jc w:val="both"/>
      </w:pPr>
      <w:r>
        <w:t>Submission rate: 90%</w:t>
      </w:r>
    </w:p>
    <w:p w:rsidR="00FD5394" w:rsidRPr="00643F40" w:rsidRDefault="00FD5394" w:rsidP="00FD5394">
      <w:pPr>
        <w:jc w:val="both"/>
        <w:rPr>
          <w:sz w:val="20"/>
          <w:szCs w:val="20"/>
        </w:rPr>
      </w:pPr>
      <w:r>
        <w:t xml:space="preserve">Number of outputs returned: 428 </w:t>
      </w:r>
    </w:p>
    <w:p w:rsidR="00FD5394" w:rsidRDefault="00FD5394" w:rsidP="00FD5394">
      <w:r>
        <w:t>Standard Grade Point Average (where an output of 4* scores 4 units, an output of 3* scores 3 units etc.): 3.334</w:t>
      </w:r>
    </w:p>
    <w:p w:rsidR="00FD5394" w:rsidRDefault="00FD5394" w:rsidP="00FD5394">
      <w:r>
        <w:t>Weighted Grade Point Average (where an output of 4* scores 3 units and an output of 3* scores 1 unit; 2* outputs and below score no units): 1.715</w:t>
      </w:r>
    </w:p>
    <w:p w:rsidR="00FD5394" w:rsidRDefault="00FD5394" w:rsidP="00FD5394">
      <w:pPr>
        <w:jc w:val="both"/>
      </w:pPr>
      <w:r>
        <w:t>Number of impact case studies returned: 12</w:t>
      </w:r>
    </w:p>
    <w:p w:rsidR="00FD5394" w:rsidRDefault="00FD5394" w:rsidP="00FD5394">
      <w:pPr>
        <w:jc w:val="both"/>
      </w:pPr>
      <w:r>
        <w:rPr>
          <w:rFonts w:cs="Arial"/>
        </w:rPr>
        <w:t xml:space="preserve">The impact </w:t>
      </w:r>
      <w:r w:rsidRPr="001C74C8">
        <w:rPr>
          <w:rFonts w:cs="Arial"/>
        </w:rPr>
        <w:t xml:space="preserve">case </w:t>
      </w:r>
      <w:proofErr w:type="gramStart"/>
      <w:r w:rsidRPr="001C74C8">
        <w:rPr>
          <w:rFonts w:cs="Arial"/>
        </w:rPr>
        <w:t xml:space="preserve">studies </w:t>
      </w:r>
      <w:r>
        <w:rPr>
          <w:rFonts w:cs="Arial"/>
        </w:rPr>
        <w:t>were selected as they show how this unit influences healthcare policy, improves</w:t>
      </w:r>
      <w:proofErr w:type="gramEnd"/>
      <w:r>
        <w:rPr>
          <w:rFonts w:cs="Arial"/>
        </w:rPr>
        <w:t xml:space="preserve"> population health, improves clinical practice, demonstrate the efficient uses of resources and evidence wealth generation via industrial links. Authors and case studies submitted were:</w:t>
      </w:r>
    </w:p>
    <w:p w:rsidR="00FD5394" w:rsidRDefault="00FD5394" w:rsidP="00FD5394">
      <w:pPr>
        <w:jc w:val="both"/>
      </w:pPr>
      <w:r>
        <w:t xml:space="preserve">Martin </w:t>
      </w:r>
      <w:r w:rsidRPr="00EE0890">
        <w:rPr>
          <w:b/>
        </w:rPr>
        <w:t>Tickle</w:t>
      </w:r>
      <w:r>
        <w:t xml:space="preserve">: </w:t>
      </w:r>
      <w:r w:rsidRPr="00A42056">
        <w:rPr>
          <w:i/>
        </w:rPr>
        <w:t>Changing national policy on dental school screening</w:t>
      </w:r>
      <w:r>
        <w:t xml:space="preserve">; Helen </w:t>
      </w:r>
      <w:r w:rsidRPr="00EE0890">
        <w:rPr>
          <w:b/>
        </w:rPr>
        <w:t>Worthington</w:t>
      </w:r>
      <w:r w:rsidRPr="00A42056">
        <w:t>:</w:t>
      </w:r>
      <w:r>
        <w:t xml:space="preserve"> </w:t>
      </w:r>
      <w:r w:rsidRPr="00A42056">
        <w:rPr>
          <w:i/>
        </w:rPr>
        <w:t>Cochrane Oral Health Group leads the international evidence base for oral health: Antibiotics for the prevention of bacterial endocarditis</w:t>
      </w:r>
      <w:r>
        <w:t xml:space="preserve">; Karen </w:t>
      </w:r>
      <w:proofErr w:type="spellStart"/>
      <w:r w:rsidRPr="00EE0890">
        <w:rPr>
          <w:b/>
        </w:rPr>
        <w:t>Hassell</w:t>
      </w:r>
      <w:proofErr w:type="spellEnd"/>
      <w:r>
        <w:t xml:space="preserve">: </w:t>
      </w:r>
      <w:r w:rsidRPr="00A42056">
        <w:rPr>
          <w:i/>
        </w:rPr>
        <w:t>Community pharmacy: improving access to medicines and pharmacists</w:t>
      </w:r>
      <w:r>
        <w:t xml:space="preserve">; Brian </w:t>
      </w:r>
      <w:r w:rsidRPr="00EE0890">
        <w:rPr>
          <w:b/>
        </w:rPr>
        <w:t>Houston</w:t>
      </w:r>
      <w:r>
        <w:t xml:space="preserve">: </w:t>
      </w:r>
      <w:r w:rsidRPr="00A42056">
        <w:rPr>
          <w:i/>
        </w:rPr>
        <w:t>Drug Development: Influence on Regulatory Policies and Industrial Practice</w:t>
      </w:r>
      <w:r>
        <w:t xml:space="preserve">; Chris </w:t>
      </w:r>
      <w:r w:rsidRPr="00EE0890">
        <w:rPr>
          <w:b/>
        </w:rPr>
        <w:t>Todd</w:t>
      </w:r>
      <w:r>
        <w:t xml:space="preserve">: </w:t>
      </w:r>
      <w:r w:rsidRPr="00A42056">
        <w:rPr>
          <w:i/>
        </w:rPr>
        <w:t>Falls prevention amongst older people: Development of effective interventions and improvement of uptake and adherence to services</w:t>
      </w:r>
      <w:r>
        <w:t xml:space="preserve">; </w:t>
      </w:r>
      <w:proofErr w:type="spellStart"/>
      <w:r>
        <w:t>Alys</w:t>
      </w:r>
      <w:proofErr w:type="spellEnd"/>
      <w:r>
        <w:t xml:space="preserve"> </w:t>
      </w:r>
      <w:r w:rsidRPr="00EE0890">
        <w:rPr>
          <w:b/>
        </w:rPr>
        <w:t>Young</w:t>
      </w:r>
      <w:r>
        <w:t xml:space="preserve">/Kai </w:t>
      </w:r>
      <w:proofErr w:type="spellStart"/>
      <w:r w:rsidRPr="00EE0890">
        <w:rPr>
          <w:b/>
        </w:rPr>
        <w:t>Uus</w:t>
      </w:r>
      <w:proofErr w:type="spellEnd"/>
      <w:r>
        <w:t xml:space="preserve">: </w:t>
      </w:r>
      <w:r w:rsidRPr="00A42056">
        <w:rPr>
          <w:i/>
        </w:rPr>
        <w:t>From hearing screening to early intervention for deaf children and their families</w:t>
      </w:r>
      <w:r>
        <w:t xml:space="preserve">; Gunn </w:t>
      </w:r>
      <w:r w:rsidRPr="00EE0890">
        <w:rPr>
          <w:b/>
        </w:rPr>
        <w:t>Grande</w:t>
      </w:r>
      <w:r>
        <w:t xml:space="preserve">: </w:t>
      </w:r>
      <w:r w:rsidRPr="00A42056">
        <w:rPr>
          <w:i/>
        </w:rPr>
        <w:t>Improving care and support for patients and families throughout the cancer trajectory</w:t>
      </w:r>
      <w:r>
        <w:t xml:space="preserve">; Karina </w:t>
      </w:r>
      <w:r w:rsidRPr="00EE0890">
        <w:rPr>
          <w:b/>
        </w:rPr>
        <w:t>Lovell</w:t>
      </w:r>
      <w:r>
        <w:t xml:space="preserve">: </w:t>
      </w:r>
      <w:r w:rsidRPr="00A42056">
        <w:rPr>
          <w:i/>
        </w:rPr>
        <w:t>Increasing access to low intensity psychological intervention</w:t>
      </w:r>
      <w:r>
        <w:t xml:space="preserve">; David </w:t>
      </w:r>
      <w:r w:rsidRPr="00EE0890">
        <w:rPr>
          <w:b/>
        </w:rPr>
        <w:t>Challis</w:t>
      </w:r>
      <w:r w:rsidRPr="00A42056">
        <w:rPr>
          <w:i/>
        </w:rPr>
        <w:t>: Influencing policy in community care: the impact of  care coordination and community care research on Personal Budgets and National Dementia Strategies in England</w:t>
      </w:r>
      <w:r>
        <w:t xml:space="preserve">; Ian </w:t>
      </w:r>
      <w:r w:rsidRPr="00EE0890">
        <w:rPr>
          <w:b/>
        </w:rPr>
        <w:t>Stratford</w:t>
      </w:r>
      <w:r>
        <w:t xml:space="preserve">: </w:t>
      </w:r>
      <w:r w:rsidRPr="00A42056">
        <w:rPr>
          <w:i/>
        </w:rPr>
        <w:t>Molecular markers and drug development leading to improvements in radiotherapy</w:t>
      </w:r>
      <w:r>
        <w:t xml:space="preserve">; Tina </w:t>
      </w:r>
      <w:r w:rsidRPr="00EE0890">
        <w:rPr>
          <w:b/>
        </w:rPr>
        <w:t>Lavender:</w:t>
      </w:r>
      <w:r>
        <w:t xml:space="preserve"> </w:t>
      </w:r>
      <w:r w:rsidRPr="00A42056">
        <w:rPr>
          <w:i/>
        </w:rPr>
        <w:t>Prevention of atopic eczema through appropriate neonatal skin care practices</w:t>
      </w:r>
      <w:r>
        <w:t xml:space="preserve">  </w:t>
      </w:r>
      <w:r>
        <w:rPr>
          <w:rFonts w:cs="Arial"/>
        </w:rPr>
        <w:t>(a redacted version will be seen by Panel members, due to the need for confidentiality); Peter</w:t>
      </w:r>
      <w:r w:rsidRPr="00EE0890">
        <w:rPr>
          <w:rFonts w:cs="Arial"/>
          <w:b/>
        </w:rPr>
        <w:t xml:space="preserve"> Noyce</w:t>
      </w:r>
      <w:r>
        <w:rPr>
          <w:rFonts w:cs="Arial"/>
        </w:rPr>
        <w:t xml:space="preserve">: </w:t>
      </w:r>
      <w:r w:rsidRPr="00A42056">
        <w:rPr>
          <w:rFonts w:cs="Arial"/>
          <w:i/>
        </w:rPr>
        <w:t>Reducing prescribing errors and improving patient safety in primary and secondary health care.</w:t>
      </w:r>
    </w:p>
    <w:p w:rsidR="00413CAF" w:rsidRDefault="00A72380"/>
    <w:sectPr w:rsidR="00413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394"/>
    <w:rsid w:val="005058D2"/>
    <w:rsid w:val="00830B43"/>
    <w:rsid w:val="008B68F7"/>
    <w:rsid w:val="00A72380"/>
    <w:rsid w:val="00FD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3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3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D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39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Kear</dc:creator>
  <cp:lastModifiedBy>Jane Kear</cp:lastModifiedBy>
  <cp:revision>2</cp:revision>
  <dcterms:created xsi:type="dcterms:W3CDTF">2015-06-09T11:39:00Z</dcterms:created>
  <dcterms:modified xsi:type="dcterms:W3CDTF">2015-06-09T11:43:00Z</dcterms:modified>
</cp:coreProperties>
</file>