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99" w:rsidRPr="00231ADB" w:rsidRDefault="00191299" w:rsidP="00191299">
      <w:pPr>
        <w:rPr>
          <w:b/>
          <w:u w:val="single"/>
        </w:rPr>
      </w:pPr>
      <w:proofErr w:type="spellStart"/>
      <w:r w:rsidRPr="00231ADB">
        <w:rPr>
          <w:b/>
          <w:u w:val="single"/>
        </w:rPr>
        <w:t>UoA</w:t>
      </w:r>
      <w:proofErr w:type="spellEnd"/>
      <w:r w:rsidRPr="00231ADB">
        <w:rPr>
          <w:b/>
          <w:u w:val="single"/>
        </w:rPr>
        <w:t xml:space="preserve"> 2 – Public Health, Health Services and Primary Care</w:t>
      </w:r>
    </w:p>
    <w:p w:rsidR="00191299" w:rsidRDefault="00191299" w:rsidP="00191299">
      <w:pPr>
        <w:jc w:val="both"/>
      </w:pPr>
      <w:r>
        <w:t>REF2014 Research Activity Profile with national weighted average in brackets:</w:t>
      </w:r>
    </w:p>
    <w:p w:rsidR="00191299" w:rsidRDefault="00191299" w:rsidP="00191299">
      <w:pPr>
        <w:rPr>
          <w:b/>
          <w:u w:val="single"/>
        </w:rPr>
      </w:pPr>
      <w:r w:rsidRPr="007F03B7">
        <w:rPr>
          <w:noProof/>
          <w:lang w:eastAsia="en-GB"/>
        </w:rPr>
        <w:drawing>
          <wp:inline distT="0" distB="0" distL="0" distR="0" wp14:anchorId="556924F1" wp14:editId="3DBB11C2">
            <wp:extent cx="5731510" cy="992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99" w:rsidRDefault="00191299" w:rsidP="00191299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REFPE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scores compared to actual REF2014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>scores obtained</w:t>
      </w:r>
      <w:r>
        <w:rPr>
          <w:rFonts w:ascii="Calibri" w:eastAsia="Times New Roman" w:hAnsi="Calibri" w:cs="Calibri"/>
          <w:color w:val="000000"/>
          <w:lang w:eastAsia="en-GB"/>
        </w:rPr>
        <w:t>:</w:t>
      </w:r>
    </w:p>
    <w:p w:rsidR="00191299" w:rsidRDefault="00191299" w:rsidP="00191299">
      <w:pPr>
        <w:rPr>
          <w:b/>
          <w:u w:val="single"/>
        </w:rPr>
      </w:pPr>
      <w:r w:rsidRPr="00E743FB">
        <w:rPr>
          <w:noProof/>
          <w:lang w:eastAsia="en-GB"/>
        </w:rPr>
        <w:drawing>
          <wp:inline distT="0" distB="0" distL="0" distR="0" wp14:anchorId="4CA52202" wp14:editId="76167B18">
            <wp:extent cx="3857625" cy="1171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99" w:rsidRDefault="00191299" w:rsidP="00191299">
      <w:pPr>
        <w:jc w:val="both"/>
      </w:pPr>
      <w:r>
        <w:t xml:space="preserve">For the </w:t>
      </w:r>
      <w:r w:rsidRPr="002F3710">
        <w:rPr>
          <w:b/>
        </w:rPr>
        <w:t>outputs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2 ranks 28</w:t>
      </w:r>
      <w:r>
        <w:rPr>
          <w:vertAlign w:val="superscript"/>
        </w:rPr>
        <w:t xml:space="preserve">th </w:t>
      </w:r>
      <w:r>
        <w:t xml:space="preserve">in the UK, followed by Sheffield, Brunel, Leeds Beckett and Portsmouth.  </w:t>
      </w:r>
    </w:p>
    <w:p w:rsidR="00191299" w:rsidRDefault="00191299" w:rsidP="00191299">
      <w:pPr>
        <w:jc w:val="both"/>
      </w:pPr>
      <w:r>
        <w:t>For the</w:t>
      </w:r>
      <w:r w:rsidRPr="002F3710">
        <w:rPr>
          <w:b/>
        </w:rPr>
        <w:t xml:space="preserve"> impact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2 ranks equal 30</w:t>
      </w:r>
      <w:r w:rsidRPr="007B00B9">
        <w:rPr>
          <w:vertAlign w:val="superscript"/>
        </w:rPr>
        <w:t>th</w:t>
      </w:r>
      <w:r>
        <w:t xml:space="preserve"> with Portsmouth, with Leeds Beckett coming 32</w:t>
      </w:r>
      <w:r w:rsidRPr="000D68EC">
        <w:rPr>
          <w:vertAlign w:val="superscript"/>
        </w:rPr>
        <w:t>nd</w:t>
      </w:r>
      <w:r>
        <w:t xml:space="preserve">. </w:t>
      </w:r>
    </w:p>
    <w:p w:rsidR="00191299" w:rsidRDefault="00191299" w:rsidP="00191299">
      <w:pPr>
        <w:jc w:val="both"/>
      </w:pPr>
      <w:r>
        <w:t xml:space="preserve">For the </w:t>
      </w:r>
      <w:r w:rsidRPr="002F3710">
        <w:rPr>
          <w:b/>
        </w:rPr>
        <w:t xml:space="preserve">environment </w:t>
      </w:r>
      <w:r>
        <w:t xml:space="preserve">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2 ranks joint 19</w:t>
      </w:r>
      <w:r w:rsidRPr="009C7C8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with Exeter.  </w:t>
      </w:r>
    </w:p>
    <w:p w:rsidR="00191299" w:rsidRDefault="00191299" w:rsidP="00191299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>
        <w:t xml:space="preserve">In terms of </w:t>
      </w:r>
      <w:r w:rsidRPr="00DD6A91">
        <w:rPr>
          <w:b/>
        </w:rPr>
        <w:t>research power</w:t>
      </w:r>
      <w:r>
        <w:t xml:space="preserve">, the </w:t>
      </w:r>
      <w:proofErr w:type="spellStart"/>
      <w:r>
        <w:t>UoM</w:t>
      </w:r>
      <w:proofErr w:type="spellEnd"/>
      <w:r>
        <w:t xml:space="preserve"> was 15</w:t>
      </w:r>
      <w:r w:rsidRPr="008E3E70">
        <w:rPr>
          <w:vertAlign w:val="superscript"/>
        </w:rPr>
        <w:t>th</w:t>
      </w:r>
      <w:r>
        <w:t xml:space="preserve"> in the UK with 0.11. </w:t>
      </w:r>
      <w:r w:rsidRPr="008E3E70">
        <w:rPr>
          <w:rFonts w:ascii="Calibri" w:eastAsia="Times New Roman" w:hAnsi="Calibri" w:cs="Calibri"/>
          <w:color w:val="000000"/>
          <w:lang w:eastAsia="en-GB"/>
        </w:rPr>
        <w:t>London School of Hygiene &amp; Tropical Medicine</w:t>
      </w:r>
      <w:r>
        <w:rPr>
          <w:rFonts w:ascii="Calibri" w:eastAsia="Times New Roman" w:hAnsi="Calibri" w:cs="Calibri"/>
          <w:color w:val="000000"/>
          <w:lang w:eastAsia="en-GB"/>
        </w:rPr>
        <w:t xml:space="preserve"> was first with 1.0 followed by UCL with 0.62 and Bristol with 0.33:</w:t>
      </w:r>
    </w:p>
    <w:tbl>
      <w:tblPr>
        <w:tblW w:w="8232" w:type="dxa"/>
        <w:tblLook w:val="04A0" w:firstRow="1" w:lastRow="0" w:firstColumn="1" w:lastColumn="0" w:noHBand="0" w:noVBand="1"/>
      </w:tblPr>
      <w:tblGrid>
        <w:gridCol w:w="4520"/>
        <w:gridCol w:w="1276"/>
        <w:gridCol w:w="1160"/>
        <w:gridCol w:w="1276"/>
      </w:tblGrid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HEI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Power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Column1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Prop Staff Sub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London School of Hygiene &amp; Tropical Medicine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82.6881029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College London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0.62506702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96.2349398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Bristol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0.30090265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92.0987654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Sheffield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0.27105246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75.8367347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Cambridge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0.23501899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79.2638889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Imperial College London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0.22814421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95.7894737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York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0.20636016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72.2465753</w:t>
            </w:r>
          </w:p>
        </w:tc>
        <w:bookmarkStart w:id="0" w:name="_GoBack"/>
        <w:bookmarkEnd w:id="0"/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Oxford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0.2004649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73.3846154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Aberdeen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0.18069448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31.0457516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Glasgow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0.17717732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88.0363636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Birmingham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0.16842355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77.0689655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Nottingham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0.12680749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70.2553191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Warwick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0.11816676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48.078125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Liverpool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0.11491021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71.1363636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Manchester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0.11189761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00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81.2926829</w:t>
            </w:r>
          </w:p>
        </w:tc>
      </w:tr>
      <w:tr w:rsidR="00191299" w:rsidRPr="00D700E5" w:rsidTr="00B04273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Queen's University Belfast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0.10330712</w:t>
            </w:r>
          </w:p>
        </w:tc>
        <w:tc>
          <w:tcPr>
            <w:tcW w:w="11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91299" w:rsidRPr="00D700E5" w:rsidRDefault="00191299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98.6666667</w:t>
            </w:r>
          </w:p>
        </w:tc>
      </w:tr>
    </w:tbl>
    <w:p w:rsidR="00191299" w:rsidRDefault="00191299" w:rsidP="00191299">
      <w:pPr>
        <w:rPr>
          <w:b/>
          <w:u w:val="single"/>
        </w:rPr>
      </w:pPr>
    </w:p>
    <w:p w:rsidR="00191299" w:rsidRDefault="00191299" w:rsidP="00191299">
      <w:pPr>
        <w:jc w:val="both"/>
      </w:pPr>
      <w:proofErr w:type="spellStart"/>
      <w:r>
        <w:lastRenderedPageBreak/>
        <w:t>UoM</w:t>
      </w:r>
      <w:proofErr w:type="spellEnd"/>
      <w:r>
        <w:t xml:space="preserve"> </w:t>
      </w:r>
      <w:proofErr w:type="spellStart"/>
      <w:r>
        <w:t>UoA</w:t>
      </w:r>
      <w:proofErr w:type="spellEnd"/>
      <w:r>
        <w:t xml:space="preserve"> 2 overall GPA was 2.78, with the sector average being 3.16, and ranks 29</w:t>
      </w:r>
      <w:r w:rsidRPr="007853BD">
        <w:rPr>
          <w:vertAlign w:val="superscript"/>
        </w:rPr>
        <w:t>th</w:t>
      </w:r>
      <w:r>
        <w:t xml:space="preserve">. On intensity-weighted GPA, </w:t>
      </w:r>
      <w:proofErr w:type="spellStart"/>
      <w:r>
        <w:t>UoM</w:t>
      </w:r>
      <w:proofErr w:type="spellEnd"/>
      <w:r>
        <w:t xml:space="preserve"> overall GPA was 2.26, with the sector average being 1.66, and ranks 17</w:t>
      </w:r>
      <w:r w:rsidRPr="00AA69D8">
        <w:rPr>
          <w:vertAlign w:val="superscript"/>
        </w:rPr>
        <w:t>th</w:t>
      </w:r>
      <w:r>
        <w:t xml:space="preserve">. The percentage of eligible staff submitted was 81% with the national profile average being 53%. </w:t>
      </w:r>
    </w:p>
    <w:p w:rsidR="00191299" w:rsidRDefault="00191299" w:rsidP="00191299">
      <w:pPr>
        <w:jc w:val="both"/>
      </w:pPr>
      <w:r>
        <w:t>Details of submission:</w:t>
      </w:r>
    </w:p>
    <w:p w:rsidR="00191299" w:rsidRDefault="00191299" w:rsidP="00191299">
      <w:pPr>
        <w:jc w:val="both"/>
      </w:pPr>
      <w:r>
        <w:t>Number of eligible staff returned and FTE value: 36 at 33.33FTE</w:t>
      </w:r>
    </w:p>
    <w:p w:rsidR="00191299" w:rsidRDefault="00191299" w:rsidP="00191299">
      <w:pPr>
        <w:jc w:val="both"/>
      </w:pPr>
      <w:r>
        <w:t>Number of early career researchers (ECRs) returned: 2</w:t>
      </w:r>
    </w:p>
    <w:p w:rsidR="00191299" w:rsidRDefault="00191299" w:rsidP="00191299">
      <w:pPr>
        <w:jc w:val="both"/>
      </w:pPr>
      <w:r>
        <w:t>Number of eligible staff excluded: 9</w:t>
      </w:r>
    </w:p>
    <w:p w:rsidR="00191299" w:rsidRDefault="00191299" w:rsidP="00191299">
      <w:pPr>
        <w:jc w:val="both"/>
      </w:pPr>
      <w:r>
        <w:t>Submission rate: 81%</w:t>
      </w:r>
    </w:p>
    <w:p w:rsidR="00191299" w:rsidRDefault="00191299" w:rsidP="00191299">
      <w:pPr>
        <w:jc w:val="both"/>
      </w:pPr>
      <w:r>
        <w:t xml:space="preserve">Number of outputs returned: 137 </w:t>
      </w:r>
    </w:p>
    <w:p w:rsidR="00191299" w:rsidRDefault="00191299" w:rsidP="00191299">
      <w:r>
        <w:t>Standard Grade Point Average (where an output of 4* scores 4 units, an output of 3* scores 3 units etc.): 3.358</w:t>
      </w:r>
    </w:p>
    <w:p w:rsidR="00191299" w:rsidRDefault="00191299" w:rsidP="00191299">
      <w:r>
        <w:t>Weighted Grade Point Average (where an output of 4* scores 3 units and an output of 3* scores 1 unit; 2* outputs and below score no units): 1.745</w:t>
      </w:r>
    </w:p>
    <w:p w:rsidR="00191299" w:rsidRDefault="00191299" w:rsidP="00191299">
      <w:pPr>
        <w:jc w:val="both"/>
      </w:pPr>
      <w:r>
        <w:t>Number of impact case studies returned: 4</w:t>
      </w:r>
    </w:p>
    <w:p w:rsidR="00191299" w:rsidRDefault="00191299" w:rsidP="00191299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The impact </w:t>
      </w:r>
      <w:r w:rsidRPr="001C74C8">
        <w:rPr>
          <w:rFonts w:cs="Arial"/>
        </w:rPr>
        <w:t xml:space="preserve">case studies </w:t>
      </w:r>
      <w:r>
        <w:rPr>
          <w:rFonts w:cs="Arial"/>
        </w:rPr>
        <w:t xml:space="preserve">were selected as they </w:t>
      </w:r>
      <w:r w:rsidRPr="001C74C8">
        <w:rPr>
          <w:rFonts w:cs="Arial"/>
        </w:rPr>
        <w:t>exemplify the high quality and impact of policy research in healthcare at the University of Manchester.</w:t>
      </w:r>
      <w:r>
        <w:rPr>
          <w:rFonts w:cs="Arial"/>
        </w:rPr>
        <w:t xml:space="preserve"> Authors and case studies submitted were: </w:t>
      </w:r>
    </w:p>
    <w:p w:rsidR="00191299" w:rsidRDefault="00191299" w:rsidP="00191299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Pete </w:t>
      </w:r>
      <w:r w:rsidRPr="00934702">
        <w:rPr>
          <w:rFonts w:cs="Arial"/>
          <w:b/>
        </w:rPr>
        <w:t>Bower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Assessment of patient experience of NHS primary care services</w:t>
      </w:r>
      <w:r>
        <w:rPr>
          <w:rFonts w:cs="Arial"/>
        </w:rPr>
        <w:t xml:space="preserve">; Stephen </w:t>
      </w:r>
      <w:r w:rsidRPr="00934702">
        <w:rPr>
          <w:rFonts w:cs="Arial"/>
          <w:b/>
        </w:rPr>
        <w:t>Campbell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Improving quality of care through practice accreditation;</w:t>
      </w:r>
      <w:r>
        <w:rPr>
          <w:rFonts w:cs="Arial"/>
        </w:rPr>
        <w:t xml:space="preserve"> Stephen </w:t>
      </w:r>
      <w:r w:rsidRPr="00934702">
        <w:rPr>
          <w:rFonts w:cs="Arial"/>
          <w:b/>
        </w:rPr>
        <w:t>Campbell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Improving quality of care through pay-for-performance</w:t>
      </w:r>
      <w:r>
        <w:rPr>
          <w:rFonts w:cs="Arial"/>
        </w:rPr>
        <w:t xml:space="preserve">; Matt </w:t>
      </w:r>
      <w:r w:rsidRPr="00934702">
        <w:rPr>
          <w:rFonts w:cs="Arial"/>
          <w:b/>
        </w:rPr>
        <w:t>Sutton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Needs-based formulae for distributing NHS resources</w:t>
      </w:r>
      <w:r>
        <w:rPr>
          <w:rFonts w:cs="Arial"/>
        </w:rPr>
        <w:t>.</w:t>
      </w:r>
    </w:p>
    <w:p w:rsidR="00413CAF" w:rsidRDefault="00B04273"/>
    <w:sectPr w:rsidR="0041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99"/>
    <w:rsid w:val="00191299"/>
    <w:rsid w:val="005058D2"/>
    <w:rsid w:val="00830B43"/>
    <w:rsid w:val="008B68F7"/>
    <w:rsid w:val="00B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Kear</dc:creator>
  <cp:lastModifiedBy>Jane Kear</cp:lastModifiedBy>
  <cp:revision>2</cp:revision>
  <dcterms:created xsi:type="dcterms:W3CDTF">2015-06-09T11:38:00Z</dcterms:created>
  <dcterms:modified xsi:type="dcterms:W3CDTF">2015-06-09T11:39:00Z</dcterms:modified>
</cp:coreProperties>
</file>