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66" w:rsidRPr="00231ADB" w:rsidRDefault="00025866" w:rsidP="00025866">
      <w:proofErr w:type="spellStart"/>
      <w:r w:rsidRPr="00231ADB">
        <w:rPr>
          <w:b/>
          <w:u w:val="single"/>
        </w:rPr>
        <w:t>UoA</w:t>
      </w:r>
      <w:proofErr w:type="spellEnd"/>
      <w:r w:rsidRPr="00231ADB">
        <w:rPr>
          <w:b/>
          <w:u w:val="single"/>
        </w:rPr>
        <w:t xml:space="preserve"> 1 – Clinical Medicine</w:t>
      </w:r>
      <w:r>
        <w:t xml:space="preserve"> </w:t>
      </w:r>
    </w:p>
    <w:p w:rsidR="00025866" w:rsidRDefault="00025866" w:rsidP="00025866">
      <w:r>
        <w:t>REF2014 Research Activity Profile with national weighted average in brackets:</w:t>
      </w:r>
    </w:p>
    <w:p w:rsidR="00025866" w:rsidRPr="00231ADB" w:rsidRDefault="00025866" w:rsidP="00025866">
      <w:r w:rsidRPr="00CC69EF">
        <w:rPr>
          <w:noProof/>
          <w:lang w:eastAsia="en-GB"/>
        </w:rPr>
        <w:drawing>
          <wp:inline distT="0" distB="0" distL="0" distR="0" wp14:anchorId="696FC9BC" wp14:editId="009B110F">
            <wp:extent cx="5731510" cy="992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866" w:rsidRDefault="00025866" w:rsidP="00025866">
      <w:pPr>
        <w:jc w:val="both"/>
      </w:pPr>
    </w:p>
    <w:p w:rsidR="00025866" w:rsidRDefault="00025866" w:rsidP="00025866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REFPE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scores compared to actual REF2014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>scores obtained</w:t>
      </w:r>
      <w:r>
        <w:rPr>
          <w:rFonts w:ascii="Calibri" w:eastAsia="Times New Roman" w:hAnsi="Calibri" w:cs="Calibri"/>
          <w:color w:val="000000"/>
          <w:lang w:eastAsia="en-GB"/>
        </w:rPr>
        <w:t>:</w:t>
      </w:r>
    </w:p>
    <w:p w:rsidR="00025866" w:rsidRDefault="00025866" w:rsidP="00025866">
      <w:pPr>
        <w:jc w:val="both"/>
      </w:pPr>
      <w:r w:rsidRPr="00E743FB">
        <w:rPr>
          <w:noProof/>
          <w:lang w:eastAsia="en-GB"/>
        </w:rPr>
        <w:drawing>
          <wp:inline distT="0" distB="0" distL="0" distR="0" wp14:anchorId="57EA252B" wp14:editId="4CA0CFB8">
            <wp:extent cx="3857625" cy="1171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866" w:rsidRDefault="00025866" w:rsidP="00025866">
      <w:pPr>
        <w:jc w:val="both"/>
      </w:pPr>
    </w:p>
    <w:p w:rsidR="00025866" w:rsidRDefault="00025866" w:rsidP="00025866">
      <w:pPr>
        <w:jc w:val="both"/>
      </w:pPr>
      <w:r>
        <w:t xml:space="preserve">For the </w:t>
      </w:r>
      <w:r w:rsidRPr="002F3710">
        <w:rPr>
          <w:b/>
        </w:rPr>
        <w:t xml:space="preserve">outputs </w:t>
      </w:r>
      <w:r>
        <w:t xml:space="preserve">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1 ranks 15</w:t>
      </w:r>
      <w:r w:rsidRPr="005D5006">
        <w:rPr>
          <w:vertAlign w:val="superscript"/>
        </w:rPr>
        <w:t>th</w:t>
      </w:r>
      <w:r>
        <w:t xml:space="preserve"> in the UK.  </w:t>
      </w:r>
    </w:p>
    <w:p w:rsidR="00025866" w:rsidRDefault="00025866" w:rsidP="00025866">
      <w:pPr>
        <w:jc w:val="both"/>
      </w:pPr>
      <w:r>
        <w:t xml:space="preserve">For the </w:t>
      </w:r>
      <w:r w:rsidRPr="002F3710">
        <w:rPr>
          <w:b/>
        </w:rPr>
        <w:t>impact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1 ranks joint 23rd in the UK with Southampton. </w:t>
      </w:r>
    </w:p>
    <w:p w:rsidR="00025866" w:rsidRDefault="00025866" w:rsidP="00025866">
      <w:pPr>
        <w:jc w:val="both"/>
      </w:pPr>
      <w:r>
        <w:t>For the</w:t>
      </w:r>
      <w:r w:rsidRPr="002F3710">
        <w:rPr>
          <w:b/>
        </w:rPr>
        <w:t xml:space="preserve"> environment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1 ranks joint 9</w:t>
      </w:r>
      <w:r w:rsidRPr="00F974E4">
        <w:rPr>
          <w:vertAlign w:val="superscript"/>
        </w:rPr>
        <w:t>th</w:t>
      </w:r>
      <w:r>
        <w:t xml:space="preserve"> with ICR.  </w:t>
      </w:r>
    </w:p>
    <w:p w:rsidR="00025866" w:rsidRDefault="00025866" w:rsidP="00025866">
      <w:pPr>
        <w:jc w:val="both"/>
      </w:pPr>
      <w:r>
        <w:t xml:space="preserve">In terms of </w:t>
      </w:r>
      <w:r w:rsidRPr="00DD6A91">
        <w:rPr>
          <w:b/>
        </w:rPr>
        <w:t>research power</w:t>
      </w:r>
      <w:r>
        <w:t xml:space="preserve">, the </w:t>
      </w:r>
      <w:proofErr w:type="spellStart"/>
      <w:r>
        <w:t>UoM</w:t>
      </w:r>
      <w:proofErr w:type="spellEnd"/>
      <w:r>
        <w:t xml:space="preserve"> was 12</w:t>
      </w:r>
      <w:r w:rsidRPr="008E3E70">
        <w:rPr>
          <w:vertAlign w:val="superscript"/>
        </w:rPr>
        <w:t>th</w:t>
      </w:r>
      <w:r>
        <w:t xml:space="preserve"> in the UK with 0.30. UCL was first with 1.0, followed by Imperial with 0.77, Oxford with 0.57, </w:t>
      </w:r>
      <w:proofErr w:type="gramStart"/>
      <w:r>
        <w:t>Edinburgh</w:t>
      </w:r>
      <w:proofErr w:type="gramEnd"/>
      <w:r>
        <w:t xml:space="preserve"> with 0.47 and Cambridge with 0.45:</w:t>
      </w:r>
    </w:p>
    <w:tbl>
      <w:tblPr>
        <w:tblW w:w="7213" w:type="dxa"/>
        <w:tblLook w:val="04A0" w:firstRow="1" w:lastRow="0" w:firstColumn="1" w:lastColumn="0" w:noHBand="0" w:noVBand="1"/>
      </w:tblPr>
      <w:tblGrid>
        <w:gridCol w:w="4520"/>
        <w:gridCol w:w="1053"/>
        <w:gridCol w:w="1640"/>
      </w:tblGrid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bookmarkStart w:id="0" w:name="_GoBack"/>
            <w:bookmarkEnd w:id="0"/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HEI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Power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Prop Staff Sub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College London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96.30406852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Imperial College London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0.773238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87.48167539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Oxford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0.571761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74.07142857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Edinburgh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0.474489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84.80737705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Cambridge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0.457717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76.82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Glasgow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0.39445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77.80701754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Birmingham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0.346739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70.45064378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Queen Mary University of London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0.32844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70.99014778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Newcastle University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0.327145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84.07428571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King's College London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0.322289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76.64044944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Liverpool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0.308105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68.00947867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Manchester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0.301851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00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66.10679612</w:t>
            </w:r>
          </w:p>
        </w:tc>
      </w:tr>
      <w:tr w:rsidR="00025866" w:rsidRPr="00D700E5" w:rsidTr="001A5B0C">
        <w:trPr>
          <w:trHeight w:val="300"/>
        </w:trPr>
        <w:tc>
          <w:tcPr>
            <w:tcW w:w="4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University of Southampton</w:t>
            </w:r>
          </w:p>
        </w:tc>
        <w:tc>
          <w:tcPr>
            <w:tcW w:w="1053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0.292924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025866" w:rsidRPr="00D700E5" w:rsidRDefault="00025866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700E5">
              <w:rPr>
                <w:rFonts w:ascii="Calibri" w:eastAsia="Times New Roman" w:hAnsi="Calibri" w:cs="Calibri"/>
                <w:color w:val="000000"/>
                <w:lang w:eastAsia="en-GB"/>
              </w:rPr>
              <w:t>85.35119048</w:t>
            </w:r>
          </w:p>
        </w:tc>
      </w:tr>
    </w:tbl>
    <w:p w:rsidR="00025866" w:rsidRDefault="00025866" w:rsidP="00025866">
      <w:pPr>
        <w:rPr>
          <w:b/>
          <w:u w:val="single"/>
        </w:rPr>
      </w:pPr>
    </w:p>
    <w:p w:rsidR="00025866" w:rsidRDefault="00025866" w:rsidP="00025866">
      <w:pPr>
        <w:jc w:val="both"/>
      </w:pPr>
      <w:proofErr w:type="spellStart"/>
      <w:r>
        <w:t>UoM</w:t>
      </w:r>
      <w:proofErr w:type="spellEnd"/>
      <w:r>
        <w:t xml:space="preserve"> </w:t>
      </w:r>
      <w:proofErr w:type="spellStart"/>
      <w:r>
        <w:t>UoA</w:t>
      </w:r>
      <w:proofErr w:type="spellEnd"/>
      <w:r>
        <w:t xml:space="preserve"> 1 overall GPA was 3.19, with the sector average also being 3.19, and ranks 12th. On intensity-weighted GPA, </w:t>
      </w:r>
      <w:proofErr w:type="spellStart"/>
      <w:r>
        <w:t>UoM</w:t>
      </w:r>
      <w:proofErr w:type="spellEnd"/>
      <w:r>
        <w:t xml:space="preserve"> overall GPA was 2.11, with the sector average being 2.37, and ranks 20</w:t>
      </w:r>
      <w:r w:rsidRPr="00AA69D8">
        <w:rPr>
          <w:vertAlign w:val="superscript"/>
        </w:rPr>
        <w:t>th</w:t>
      </w:r>
      <w:r>
        <w:t xml:space="preserve">. The percentage of eligible staff submitted was 66% with the national profile average being 74%.  </w:t>
      </w:r>
    </w:p>
    <w:p w:rsidR="00025866" w:rsidRDefault="00025866" w:rsidP="00025866">
      <w:pPr>
        <w:jc w:val="both"/>
      </w:pPr>
      <w:r>
        <w:t>Details of submission:</w:t>
      </w:r>
    </w:p>
    <w:p w:rsidR="00025866" w:rsidRDefault="00025866" w:rsidP="00025866">
      <w:pPr>
        <w:jc w:val="both"/>
      </w:pPr>
      <w:proofErr w:type="spellStart"/>
      <w:r>
        <w:t>UoA</w:t>
      </w:r>
      <w:proofErr w:type="spellEnd"/>
      <w:r>
        <w:t xml:space="preserve"> 1 was the largest return of the University, with 149 staff submitted (followed by 147 staff returned by FLS [UoA5] and 131 by MBS [</w:t>
      </w:r>
      <w:proofErr w:type="spellStart"/>
      <w:r>
        <w:t>UoA</w:t>
      </w:r>
      <w:proofErr w:type="spellEnd"/>
      <w:r>
        <w:t xml:space="preserve"> 19]). </w:t>
      </w:r>
    </w:p>
    <w:p w:rsidR="00025866" w:rsidRDefault="00025866" w:rsidP="00025866">
      <w:pPr>
        <w:jc w:val="both"/>
      </w:pPr>
      <w:r>
        <w:t>Number of eligible staff returned and FTE value: 149 at 136.18 FTE</w:t>
      </w:r>
    </w:p>
    <w:p w:rsidR="00025866" w:rsidRDefault="00025866" w:rsidP="00025866">
      <w:pPr>
        <w:jc w:val="both"/>
      </w:pPr>
      <w:r>
        <w:t>Number of early career researchers (ECRs) returned: 10</w:t>
      </w:r>
    </w:p>
    <w:p w:rsidR="00025866" w:rsidRDefault="00025866" w:rsidP="00025866">
      <w:pPr>
        <w:jc w:val="both"/>
      </w:pPr>
      <w:r>
        <w:t>Number of eligible staff excluded: 89</w:t>
      </w:r>
    </w:p>
    <w:p w:rsidR="00025866" w:rsidRDefault="00025866" w:rsidP="00025866">
      <w:pPr>
        <w:jc w:val="both"/>
      </w:pPr>
      <w:r>
        <w:t>Submission rate: 66%</w:t>
      </w:r>
    </w:p>
    <w:p w:rsidR="00025866" w:rsidRDefault="00025866" w:rsidP="00025866">
      <w:pPr>
        <w:jc w:val="both"/>
      </w:pPr>
      <w:r>
        <w:t xml:space="preserve">Number of outputs returned: 564 </w:t>
      </w:r>
    </w:p>
    <w:p w:rsidR="00025866" w:rsidRDefault="00025866" w:rsidP="00025866">
      <w:r>
        <w:t>Standard Grade Point Average (where an output of 4* scores 4 units, an output of 3* scores 3 units etc.): 3.314</w:t>
      </w:r>
    </w:p>
    <w:p w:rsidR="00025866" w:rsidRDefault="00025866" w:rsidP="00025866">
      <w:r>
        <w:t>Weighted Grade Point Average (where an output of 4* scores 3 units and an output of 3* scores 1 unit; 2* outputs and below score no units): 1.647</w:t>
      </w:r>
    </w:p>
    <w:p w:rsidR="00025866" w:rsidRDefault="00025866" w:rsidP="00025866">
      <w:pPr>
        <w:jc w:val="both"/>
      </w:pPr>
      <w:r>
        <w:t>Number of impact case studies returned: 15</w:t>
      </w:r>
    </w:p>
    <w:p w:rsidR="00025866" w:rsidRDefault="00025866" w:rsidP="00025866">
      <w:pPr>
        <w:spacing w:line="240" w:lineRule="auto"/>
        <w:jc w:val="both"/>
        <w:rPr>
          <w:rFonts w:cs="Arial"/>
        </w:rPr>
      </w:pPr>
      <w:r>
        <w:rPr>
          <w:rFonts w:cs="Arial"/>
        </w:rPr>
        <w:t>Impact case studies were</w:t>
      </w:r>
      <w:r w:rsidRPr="00EF075F">
        <w:rPr>
          <w:rFonts w:cs="Arial"/>
        </w:rPr>
        <w:t xml:space="preserve"> selected</w:t>
      </w:r>
      <w:r>
        <w:rPr>
          <w:rFonts w:cs="Arial"/>
        </w:rPr>
        <w:t xml:space="preserve"> as those </w:t>
      </w:r>
      <w:r w:rsidRPr="00EF075F">
        <w:rPr>
          <w:rFonts w:cs="Arial"/>
        </w:rPr>
        <w:t xml:space="preserve">in which the impact has led to tangible and far-reaching innovations affecting clinical diagnosis and therapy, and have developed the evidence base of the specialties concerned, with the ultimate goal of delivering improvements in patient care. </w:t>
      </w:r>
      <w:r>
        <w:rPr>
          <w:rFonts w:cs="Arial"/>
        </w:rPr>
        <w:t xml:space="preserve">Authors and case studies submitted were: </w:t>
      </w:r>
    </w:p>
    <w:p w:rsidR="00025866" w:rsidRPr="00EF075F" w:rsidRDefault="00025866" w:rsidP="00025866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Peter </w:t>
      </w:r>
      <w:r w:rsidRPr="00156E86">
        <w:rPr>
          <w:rFonts w:cs="Arial"/>
          <w:b/>
        </w:rPr>
        <w:t>Clayton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Defining the phenotype of severe growth disorders, discovering new genes that control human growth and enhancing clinical practice</w:t>
      </w:r>
      <w:r>
        <w:rPr>
          <w:rFonts w:cs="Arial"/>
        </w:rPr>
        <w:t xml:space="preserve">;  Shaheen </w:t>
      </w:r>
      <w:r w:rsidRPr="00156E86">
        <w:rPr>
          <w:rFonts w:cs="Arial"/>
          <w:b/>
        </w:rPr>
        <w:t>Hamdy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Design and implementation of a new treatment for dysphagia after stroke</w:t>
      </w:r>
      <w:r>
        <w:rPr>
          <w:rFonts w:cs="Arial"/>
        </w:rPr>
        <w:t>; Henry</w:t>
      </w:r>
      <w:r w:rsidRPr="00156E86">
        <w:rPr>
          <w:rFonts w:cs="Arial"/>
          <w:b/>
        </w:rPr>
        <w:t xml:space="preserve"> Kitchener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Developing the evidence base for a changing cervical screening programme in England</w:t>
      </w:r>
      <w:r>
        <w:rPr>
          <w:rFonts w:cs="Arial"/>
        </w:rPr>
        <w:t xml:space="preserve">; Ashley </w:t>
      </w:r>
      <w:r w:rsidRPr="00156E86">
        <w:rPr>
          <w:rFonts w:cs="Arial"/>
          <w:b/>
        </w:rPr>
        <w:t>Woodcock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Development and application of inhaled therapies in airway diseases</w:t>
      </w:r>
      <w:r>
        <w:rPr>
          <w:rFonts w:cs="Arial"/>
        </w:rPr>
        <w:t xml:space="preserve">; David </w:t>
      </w:r>
      <w:r w:rsidRPr="00156E86">
        <w:rPr>
          <w:rFonts w:cs="Arial"/>
          <w:b/>
        </w:rPr>
        <w:t>Denning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 xml:space="preserve">Diagnostics and novel life-saving therapies for </w:t>
      </w:r>
      <w:proofErr w:type="spellStart"/>
      <w:r w:rsidRPr="00A42056">
        <w:rPr>
          <w:rFonts w:cs="Arial"/>
          <w:i/>
        </w:rPr>
        <w:t>aspergillosis</w:t>
      </w:r>
      <w:proofErr w:type="spellEnd"/>
      <w:r>
        <w:rPr>
          <w:rFonts w:cs="Arial"/>
        </w:rPr>
        <w:t xml:space="preserve">; Fiona </w:t>
      </w:r>
      <w:r w:rsidRPr="00156E86">
        <w:rPr>
          <w:rFonts w:cs="Arial"/>
          <w:b/>
        </w:rPr>
        <w:t>Blackhall</w:t>
      </w:r>
      <w:r w:rsidRPr="00A42056">
        <w:rPr>
          <w:rFonts w:cs="Arial"/>
        </w:rPr>
        <w:t>:</w:t>
      </w:r>
      <w:r>
        <w:rPr>
          <w:rFonts w:cs="Arial"/>
        </w:rPr>
        <w:t xml:space="preserve"> </w:t>
      </w:r>
      <w:r w:rsidRPr="00A42056">
        <w:rPr>
          <w:rFonts w:cs="Arial"/>
          <w:i/>
        </w:rPr>
        <w:t>Establishing the evidence for treatment to improve outcomes in patients with lung cancer</w:t>
      </w:r>
      <w:r>
        <w:rPr>
          <w:rFonts w:cs="Arial"/>
        </w:rPr>
        <w:t xml:space="preserve">; Chris </w:t>
      </w:r>
      <w:r w:rsidRPr="00156E86">
        <w:rPr>
          <w:rFonts w:cs="Arial"/>
          <w:b/>
        </w:rPr>
        <w:t>Griffiths</w:t>
      </w:r>
      <w:r>
        <w:rPr>
          <w:rFonts w:cs="Arial"/>
        </w:rPr>
        <w:t xml:space="preserve">/Rachel </w:t>
      </w:r>
      <w:r w:rsidRPr="00156E86">
        <w:rPr>
          <w:rFonts w:cs="Arial"/>
          <w:b/>
        </w:rPr>
        <w:t>Watson</w:t>
      </w:r>
      <w:r>
        <w:rPr>
          <w:rFonts w:cs="Arial"/>
        </w:rPr>
        <w:t xml:space="preserve">: </w:t>
      </w:r>
      <w:proofErr w:type="spellStart"/>
      <w:r w:rsidRPr="00A42056">
        <w:rPr>
          <w:rFonts w:cs="Arial"/>
          <w:i/>
        </w:rPr>
        <w:t>Fibrillin</w:t>
      </w:r>
      <w:proofErr w:type="spellEnd"/>
      <w:r w:rsidRPr="00A42056">
        <w:rPr>
          <w:rFonts w:cs="Arial"/>
          <w:i/>
        </w:rPr>
        <w:t xml:space="preserve">-rich </w:t>
      </w:r>
      <w:proofErr w:type="spellStart"/>
      <w:r w:rsidRPr="00A42056">
        <w:rPr>
          <w:rFonts w:cs="Arial"/>
          <w:i/>
        </w:rPr>
        <w:t>microfibrils</w:t>
      </w:r>
      <w:proofErr w:type="spellEnd"/>
      <w:r w:rsidRPr="00A42056">
        <w:rPr>
          <w:rFonts w:cs="Arial"/>
          <w:i/>
        </w:rPr>
        <w:t xml:space="preserve"> and efficacy of anti-ageing cosmetics</w:t>
      </w:r>
      <w:r>
        <w:rPr>
          <w:rFonts w:cs="Arial"/>
        </w:rPr>
        <w:t xml:space="preserve"> (a redacted version will be seen by Panel members, due to the need for confidentiality);Brian </w:t>
      </w:r>
      <w:r w:rsidRPr="00156E86">
        <w:rPr>
          <w:rFonts w:cs="Arial"/>
          <w:b/>
        </w:rPr>
        <w:t>Bigger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Improved clinical management of lysosomal disorders</w:t>
      </w:r>
      <w:r>
        <w:rPr>
          <w:rFonts w:cs="Arial"/>
        </w:rPr>
        <w:t xml:space="preserve">; Tony </w:t>
      </w:r>
      <w:proofErr w:type="spellStart"/>
      <w:r w:rsidRPr="00156E86">
        <w:rPr>
          <w:rFonts w:cs="Arial"/>
          <w:b/>
        </w:rPr>
        <w:t>Heagerty</w:t>
      </w:r>
      <w:proofErr w:type="spellEnd"/>
      <w:r w:rsidRPr="00156E86">
        <w:rPr>
          <w:rFonts w:cs="Arial"/>
        </w:rPr>
        <w:t>/</w:t>
      </w:r>
      <w:r>
        <w:rPr>
          <w:rFonts w:cs="Arial"/>
        </w:rPr>
        <w:t xml:space="preserve">Paul </w:t>
      </w:r>
      <w:proofErr w:type="spellStart"/>
      <w:r w:rsidRPr="00156E86">
        <w:rPr>
          <w:rFonts w:cs="Arial"/>
          <w:b/>
        </w:rPr>
        <w:t>Durrington</w:t>
      </w:r>
      <w:proofErr w:type="spellEnd"/>
      <w:r>
        <w:rPr>
          <w:rFonts w:cs="Arial"/>
        </w:rPr>
        <w:t xml:space="preserve">: </w:t>
      </w:r>
      <w:r w:rsidRPr="00A42056">
        <w:rPr>
          <w:rFonts w:cs="Arial"/>
          <w:i/>
        </w:rPr>
        <w:t>Improved management of population cardiovascular risk in diabetic patients</w:t>
      </w:r>
      <w:r>
        <w:rPr>
          <w:rFonts w:cs="Arial"/>
        </w:rPr>
        <w:t xml:space="preserve">; </w:t>
      </w:r>
      <w:proofErr w:type="spellStart"/>
      <w:r>
        <w:rPr>
          <w:rFonts w:cs="Arial"/>
        </w:rPr>
        <w:t>Vaskar</w:t>
      </w:r>
      <w:proofErr w:type="spellEnd"/>
      <w:r>
        <w:rPr>
          <w:rFonts w:cs="Arial"/>
        </w:rPr>
        <w:t xml:space="preserve"> </w:t>
      </w:r>
      <w:proofErr w:type="spellStart"/>
      <w:r w:rsidRPr="00156E86">
        <w:rPr>
          <w:rFonts w:cs="Arial"/>
          <w:b/>
        </w:rPr>
        <w:t>Saha</w:t>
      </w:r>
      <w:proofErr w:type="spellEnd"/>
      <w:r>
        <w:rPr>
          <w:rFonts w:cs="Arial"/>
        </w:rPr>
        <w:t xml:space="preserve">: </w:t>
      </w:r>
      <w:r w:rsidRPr="00A42056">
        <w:rPr>
          <w:rFonts w:cs="Arial"/>
          <w:i/>
        </w:rPr>
        <w:t>Improving outcomes for children with leukaemia internationally: the results of scientifically designed clinical trials and translational research</w:t>
      </w:r>
      <w:r>
        <w:rPr>
          <w:rFonts w:cs="Arial"/>
        </w:rPr>
        <w:t xml:space="preserve">; Tony </w:t>
      </w:r>
      <w:r w:rsidRPr="00156E86">
        <w:rPr>
          <w:rFonts w:cs="Arial"/>
          <w:b/>
        </w:rPr>
        <w:t>Howell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Improving outcomes of women diagnosed with and at increased risk of breast cancer: the results of translational research and national and international clinical trials</w:t>
      </w:r>
      <w:r>
        <w:rPr>
          <w:rFonts w:cs="Arial"/>
        </w:rPr>
        <w:t xml:space="preserve">; Deborah </w:t>
      </w:r>
      <w:proofErr w:type="spellStart"/>
      <w:r w:rsidRPr="00156E86">
        <w:rPr>
          <w:rFonts w:cs="Arial"/>
          <w:b/>
        </w:rPr>
        <w:t>Symmons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</w:rPr>
        <w:t>Kimme</w:t>
      </w:r>
      <w:proofErr w:type="spellEnd"/>
      <w:r>
        <w:rPr>
          <w:rFonts w:cs="Arial"/>
        </w:rPr>
        <w:t xml:space="preserve"> </w:t>
      </w:r>
      <w:proofErr w:type="spellStart"/>
      <w:r w:rsidRPr="00156E86">
        <w:rPr>
          <w:rFonts w:cs="Arial"/>
          <w:b/>
        </w:rPr>
        <w:t>Hyrich</w:t>
      </w:r>
      <w:proofErr w:type="spellEnd"/>
      <w:r>
        <w:rPr>
          <w:rFonts w:cs="Arial"/>
        </w:rPr>
        <w:t xml:space="preserve">: </w:t>
      </w:r>
      <w:r w:rsidRPr="00A42056">
        <w:rPr>
          <w:rFonts w:cs="Arial"/>
          <w:i/>
        </w:rPr>
        <w:t>Improving treatment outcomes for patients with rheumatoid arthritis</w:t>
      </w:r>
      <w:r>
        <w:rPr>
          <w:rFonts w:cs="Arial"/>
        </w:rPr>
        <w:t xml:space="preserve">; Nigel </w:t>
      </w:r>
      <w:proofErr w:type="spellStart"/>
      <w:r w:rsidRPr="00A42056">
        <w:rPr>
          <w:rFonts w:cs="Arial"/>
          <w:b/>
        </w:rPr>
        <w:t>Bundred</w:t>
      </w:r>
      <w:proofErr w:type="spellEnd"/>
      <w:r>
        <w:rPr>
          <w:rFonts w:cs="Arial"/>
        </w:rPr>
        <w:t xml:space="preserve">: </w:t>
      </w:r>
      <w:r w:rsidRPr="00A42056">
        <w:rPr>
          <w:rFonts w:cs="Arial"/>
          <w:i/>
        </w:rPr>
        <w:t>Preventing bone loss in patients treated for breast cancer</w:t>
      </w:r>
      <w:r>
        <w:rPr>
          <w:rFonts w:cs="Arial"/>
        </w:rPr>
        <w:t xml:space="preserve">; </w:t>
      </w:r>
      <w:proofErr w:type="spellStart"/>
      <w:r>
        <w:rPr>
          <w:rFonts w:cs="Arial"/>
        </w:rPr>
        <w:t>Yanick</w:t>
      </w:r>
      <w:proofErr w:type="spellEnd"/>
      <w:r>
        <w:rPr>
          <w:rFonts w:cs="Arial"/>
        </w:rPr>
        <w:t xml:space="preserve"> </w:t>
      </w:r>
      <w:r w:rsidRPr="00156E86">
        <w:rPr>
          <w:rFonts w:cs="Arial"/>
          <w:b/>
        </w:rPr>
        <w:t>Crow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The global impact of gene identification at the University of Manchester</w:t>
      </w:r>
      <w:r>
        <w:rPr>
          <w:rFonts w:cs="Arial"/>
        </w:rPr>
        <w:t xml:space="preserve">; Gareth </w:t>
      </w:r>
      <w:r w:rsidRPr="00156E86">
        <w:rPr>
          <w:rFonts w:cs="Arial"/>
          <w:b/>
        </w:rPr>
        <w:t>Evans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 xml:space="preserve">The University of Manchester’s role in establishing nationally funded forefront services for </w:t>
      </w:r>
      <w:proofErr w:type="spellStart"/>
      <w:r w:rsidRPr="00A42056">
        <w:rPr>
          <w:rFonts w:cs="Arial"/>
          <w:i/>
        </w:rPr>
        <w:t>neurofibromatoses</w:t>
      </w:r>
      <w:proofErr w:type="spellEnd"/>
      <w:r>
        <w:rPr>
          <w:rFonts w:cs="Arial"/>
        </w:rPr>
        <w:t>.</w:t>
      </w:r>
    </w:p>
    <w:p w:rsidR="00413CAF" w:rsidRDefault="001A5B0C"/>
    <w:sectPr w:rsidR="0041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66"/>
    <w:rsid w:val="00025866"/>
    <w:rsid w:val="001A5B0C"/>
    <w:rsid w:val="005058D2"/>
    <w:rsid w:val="00830B43"/>
    <w:rsid w:val="008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Kear</dc:creator>
  <cp:lastModifiedBy>Jane Kear</cp:lastModifiedBy>
  <cp:revision>2</cp:revision>
  <dcterms:created xsi:type="dcterms:W3CDTF">2015-06-09T11:36:00Z</dcterms:created>
  <dcterms:modified xsi:type="dcterms:W3CDTF">2015-06-09T11:37:00Z</dcterms:modified>
</cp:coreProperties>
</file>