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EF1" w:rsidRPr="00BF37B9" w:rsidRDefault="002835AF" w:rsidP="00D81005">
      <w:r w:rsidRPr="00381951">
        <w:rPr>
          <w:noProof/>
          <w:lang w:eastAsia="en-GB"/>
        </w:rPr>
        <w:drawing>
          <wp:anchor distT="0" distB="0" distL="114300" distR="114300" simplePos="0" relativeHeight="251666432" behindDoc="0" locked="0" layoutInCell="1" allowOverlap="1" wp14:anchorId="5AD010FB" wp14:editId="5AD010FC">
            <wp:simplePos x="0" y="0"/>
            <wp:positionH relativeFrom="page">
              <wp:posOffset>495300</wp:posOffset>
            </wp:positionH>
            <wp:positionV relativeFrom="page">
              <wp:posOffset>361950</wp:posOffset>
            </wp:positionV>
            <wp:extent cx="1305560" cy="542925"/>
            <wp:effectExtent l="19050" t="0" r="8890" b="0"/>
            <wp:wrapSquare wrapText="bothSides"/>
            <wp:docPr id="24" name="Picture 1" descr="p:\My Documents\Templates\Logo_download\Tab_logo\White 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y Documents\Templates\Logo_download\Tab_logo\White backgrounds\TAB_col_white_background.jpg"/>
                    <pic:cNvPicPr>
                      <a:picLocks noChangeAspect="1" noChangeArrowheads="1"/>
                    </pic:cNvPicPr>
                  </pic:nvPicPr>
                  <pic:blipFill>
                    <a:blip r:embed="rId11" cstate="print"/>
                    <a:srcRect/>
                    <a:stretch>
                      <a:fillRect/>
                    </a:stretch>
                  </pic:blipFill>
                  <pic:spPr bwMode="auto">
                    <a:xfrm>
                      <a:off x="0" y="0"/>
                      <a:ext cx="1305560" cy="542925"/>
                    </a:xfrm>
                    <a:prstGeom prst="rect">
                      <a:avLst/>
                    </a:prstGeom>
                    <a:noFill/>
                    <a:ln w="9525">
                      <a:noFill/>
                      <a:miter lim="800000"/>
                      <a:headEnd/>
                      <a:tailEnd/>
                    </a:ln>
                  </pic:spPr>
                </pic:pic>
              </a:graphicData>
            </a:graphic>
          </wp:anchor>
        </w:drawing>
      </w:r>
    </w:p>
    <w:p w:rsidR="00ED1EF1" w:rsidRDefault="00A04BC3" w:rsidP="000D5B3D">
      <w:pPr>
        <w:pStyle w:val="HSSHeading1"/>
      </w:pPr>
      <w:r>
        <w:t>Safety Services</w:t>
      </w:r>
    </w:p>
    <w:p w:rsidR="001063F0" w:rsidRDefault="001063F0" w:rsidP="000D5B3D">
      <w:pPr>
        <w:pStyle w:val="HSSHeading1"/>
      </w:pPr>
    </w:p>
    <w:p w:rsidR="00627CA8" w:rsidRDefault="001063F0" w:rsidP="001063F0">
      <w:pPr>
        <w:pStyle w:val="HSSHeading1"/>
      </w:pPr>
      <w:r w:rsidRPr="004F2545">
        <w:t>Dangerous Subst</w:t>
      </w:r>
      <w:r w:rsidR="00627CA8">
        <w:t>ances and Explosive Atmospheres</w:t>
      </w:r>
    </w:p>
    <w:p w:rsidR="001063F0" w:rsidRPr="004F2545" w:rsidRDefault="00627CA8" w:rsidP="001063F0">
      <w:pPr>
        <w:pStyle w:val="HSSHeading1"/>
      </w:pPr>
      <w:r>
        <w:t xml:space="preserve">Initial Screening </w:t>
      </w:r>
      <w:r w:rsidR="001063F0">
        <w:t>Risk Assessment</w:t>
      </w:r>
      <w:r>
        <w:t xml:space="preserve"> and Points to Consider in a Risk Assessment</w:t>
      </w:r>
      <w:r w:rsidR="00D81012">
        <w:t xml:space="preserve"> when DSEAR Applies</w:t>
      </w:r>
    </w:p>
    <w:p w:rsidR="001063F0" w:rsidRDefault="001063F0" w:rsidP="001063F0">
      <w:pPr>
        <w:pStyle w:val="HSSNumberedlist"/>
      </w:pPr>
      <w:r>
        <w:t xml:space="preserve">The Dangerous Substances and Explosives Atmospheres Regulations (DSEAR) 2002 apply in all areas where there are substances that are: flammable, extremely flammable, highly flammable, oxidising, </w:t>
      </w:r>
      <w:r w:rsidR="005450F3">
        <w:t xml:space="preserve">corrosive, </w:t>
      </w:r>
      <w:r>
        <w:t>explosive, or capable of producing an explosive atm</w:t>
      </w:r>
      <w:r w:rsidR="00627CA8">
        <w:t>osphere. They also</w:t>
      </w:r>
      <w:r>
        <w:t xml:space="preserve"> apply where there are compressed gases and aerosols and where flammable dusts can occur (e.g. finely divided metal, organic powders including, sugar, flour, wood dust etc</w:t>
      </w:r>
      <w:r w:rsidR="00627CA8">
        <w:t>.).  Less intuitively, they additionally</w:t>
      </w:r>
      <w:r>
        <w:t xml:space="preserve"> apply where the behaviour of chemicals in a fire can create a flamm</w:t>
      </w:r>
      <w:r w:rsidR="0052416B">
        <w:t>able or explosive atmosphere, e</w:t>
      </w:r>
      <w:r w:rsidR="00C34207">
        <w:t>g.</w:t>
      </w:r>
      <w:r>
        <w:t xml:space="preserve"> </w:t>
      </w:r>
      <w:proofErr w:type="gramStart"/>
      <w:r>
        <w:t>thermal</w:t>
      </w:r>
      <w:proofErr w:type="gramEnd"/>
      <w:r>
        <w:t xml:space="preserve"> decomposition of mineral acids.</w:t>
      </w:r>
    </w:p>
    <w:p w:rsidR="001063F0" w:rsidRDefault="001063F0" w:rsidP="001063F0">
      <w:pPr>
        <w:pStyle w:val="HSSNumberedlist"/>
      </w:pPr>
      <w:r>
        <w:t>Examples</w:t>
      </w:r>
      <w:r w:rsidR="00627CA8">
        <w:t xml:space="preserve"> (not an exhaustive list)</w:t>
      </w:r>
      <w:r>
        <w:t xml:space="preserve"> of areas/activities where DSEAR will apply</w:t>
      </w:r>
      <w:r w:rsidR="00391D72">
        <w:t xml:space="preserve"> at the University of Manchester</w:t>
      </w:r>
      <w:r>
        <w:t xml:space="preserve"> are:</w:t>
      </w:r>
    </w:p>
    <w:p w:rsidR="00391D72" w:rsidRDefault="00391D72" w:rsidP="00391D72">
      <w:pPr>
        <w:pStyle w:val="HSSbulletedlist"/>
      </w:pPr>
      <w:r>
        <w:t>Generation, handling and storage of waste wood dusts in workshops</w:t>
      </w:r>
    </w:p>
    <w:p w:rsidR="00391D72" w:rsidRDefault="00391D72" w:rsidP="00391D72">
      <w:pPr>
        <w:pStyle w:val="HSSbulletedlist"/>
      </w:pPr>
      <w:r>
        <w:t>Generation, handling and storage of flammable wastes, including fuel oils and solvents</w:t>
      </w:r>
    </w:p>
    <w:p w:rsidR="001063F0" w:rsidRDefault="005450F3" w:rsidP="001063F0">
      <w:pPr>
        <w:pStyle w:val="HSSbulletedlist"/>
      </w:pPr>
      <w:r>
        <w:t>Storage and u</w:t>
      </w:r>
      <w:r w:rsidR="001063F0">
        <w:t>se of flammable materials (</w:t>
      </w:r>
      <w:r>
        <w:t xml:space="preserve">eg. </w:t>
      </w:r>
      <w:r w:rsidR="001063F0">
        <w:t>solvents,</w:t>
      </w:r>
      <w:r>
        <w:t xml:space="preserve"> paints, reagents, some metals)</w:t>
      </w:r>
    </w:p>
    <w:p w:rsidR="001063F0" w:rsidRDefault="001063F0" w:rsidP="00391D72">
      <w:pPr>
        <w:pStyle w:val="HSSbulletedlist"/>
      </w:pPr>
      <w:r>
        <w:t>Storage, use and handling of flammable gases,</w:t>
      </w:r>
      <w:r w:rsidR="00391D72" w:rsidRPr="00391D72">
        <w:t xml:space="preserve"> </w:t>
      </w:r>
      <w:r w:rsidR="00391D72">
        <w:t>eg. acetylene for welding,</w:t>
      </w:r>
      <w:r w:rsidR="00B86345">
        <w:t xml:space="preserve"> lab analytical techniques </w:t>
      </w:r>
      <w:proofErr w:type="spellStart"/>
      <w:r w:rsidR="00B86345">
        <w:t>etc</w:t>
      </w:r>
      <w:proofErr w:type="spellEnd"/>
      <w:r w:rsidR="00B86345">
        <w:t xml:space="preserve">, </w:t>
      </w:r>
      <w:r w:rsidR="00391D72">
        <w:t xml:space="preserve"> propane for glassblowing and </w:t>
      </w:r>
      <w:r>
        <w:t>Liquefied Petroleum Gas (LPG)</w:t>
      </w:r>
    </w:p>
    <w:p w:rsidR="001063F0" w:rsidRDefault="007A65E4" w:rsidP="001063F0">
      <w:pPr>
        <w:pStyle w:val="HSSbulletedlist"/>
      </w:pPr>
      <w:r>
        <w:t>Transport of flammable substance</w:t>
      </w:r>
      <w:r w:rsidR="001063F0">
        <w:t>s in containers around the workplace</w:t>
      </w:r>
    </w:p>
    <w:p w:rsidR="001063F0" w:rsidRDefault="001063F0" w:rsidP="001063F0">
      <w:pPr>
        <w:pStyle w:val="HSSbulletedlist"/>
      </w:pPr>
      <w:r>
        <w:t>Chemical or gas manufacture resulting from processes or research experiments</w:t>
      </w:r>
    </w:p>
    <w:p w:rsidR="007A65E4" w:rsidRDefault="007A65E4" w:rsidP="001063F0">
      <w:pPr>
        <w:pStyle w:val="HSSbulletedlist"/>
      </w:pPr>
      <w:r>
        <w:t xml:space="preserve">Handling, storage and use of </w:t>
      </w:r>
      <w:r w:rsidR="00391D72">
        <w:t xml:space="preserve">inert, oxidising, corrosive or mixed </w:t>
      </w:r>
      <w:r>
        <w:t>gases under pressure</w:t>
      </w:r>
    </w:p>
    <w:p w:rsidR="007A65E4" w:rsidRDefault="007A65E4" w:rsidP="001063F0">
      <w:pPr>
        <w:pStyle w:val="HSSbulletedlist"/>
      </w:pPr>
      <w:r>
        <w:t>Handling, storage and use of substances corrosive to metal</w:t>
      </w:r>
    </w:p>
    <w:p w:rsidR="00391D72" w:rsidRDefault="00391D72" w:rsidP="00391D72">
      <w:pPr>
        <w:pStyle w:val="HSSbulletedlist"/>
      </w:pPr>
      <w:r>
        <w:t>Handling and storage of fuel for cars, boats, horticultural machinery or test rigs</w:t>
      </w:r>
    </w:p>
    <w:p w:rsidR="0052416B" w:rsidRDefault="0052416B" w:rsidP="0052416B">
      <w:pPr>
        <w:pStyle w:val="HSSbulletedlist"/>
      </w:pPr>
      <w:r>
        <w:t>Hot work on equipment and containers that have contained flammable material</w:t>
      </w:r>
    </w:p>
    <w:p w:rsidR="00391D72" w:rsidRDefault="00391D72" w:rsidP="00391D72">
      <w:pPr>
        <w:pStyle w:val="HSSbulletedlist"/>
        <w:numPr>
          <w:ilvl w:val="0"/>
          <w:numId w:val="0"/>
        </w:numPr>
        <w:ind w:left="1021"/>
      </w:pPr>
    </w:p>
    <w:p w:rsidR="004D4FCC" w:rsidRDefault="00391D72" w:rsidP="001063F0">
      <w:pPr>
        <w:pStyle w:val="HSSNumberedlist"/>
      </w:pPr>
      <w:r>
        <w:lastRenderedPageBreak/>
        <w:t>There are two</w:t>
      </w:r>
      <w:r w:rsidR="00627CA8">
        <w:t xml:space="preserve"> parts to </w:t>
      </w:r>
      <w:r w:rsidR="006525B0">
        <w:t>the risk assessment</w:t>
      </w:r>
      <w:r w:rsidR="00627CA8">
        <w:t xml:space="preserve"> documen</w:t>
      </w:r>
      <w:r>
        <w:t xml:space="preserve">t; the first part will assist with the decision </w:t>
      </w:r>
      <w:r w:rsidR="001063F0">
        <w:t xml:space="preserve">whether the DSEAR apply in your workspace. This </w:t>
      </w:r>
      <w:r w:rsidR="00627CA8">
        <w:t xml:space="preserve">assessment </w:t>
      </w:r>
      <w:r w:rsidR="001063F0">
        <w:t xml:space="preserve">template </w:t>
      </w:r>
      <w:r w:rsidR="00627CA8">
        <w:t xml:space="preserve">(or equivalent) </w:t>
      </w:r>
      <w:r w:rsidR="001063F0">
        <w:t>should be completed for each work area i.e. laboratory, sto</w:t>
      </w:r>
      <w:r w:rsidR="007A65E4">
        <w:t>re, workshop, workroom etc.</w:t>
      </w:r>
      <w:r>
        <w:t xml:space="preserve"> or groups of areas eg. </w:t>
      </w:r>
      <w:proofErr w:type="gramStart"/>
      <w:r>
        <w:t>all</w:t>
      </w:r>
      <w:proofErr w:type="gramEnd"/>
      <w:r>
        <w:t xml:space="preserve"> workshops. </w:t>
      </w:r>
      <w:r w:rsidR="007A65E4">
        <w:t xml:space="preserve">It </w:t>
      </w:r>
      <w:r w:rsidR="001063F0">
        <w:t xml:space="preserve">aims to identify any classes </w:t>
      </w:r>
      <w:r w:rsidR="00D37A43">
        <w:t xml:space="preserve">and quantities </w:t>
      </w:r>
      <w:r w:rsidR="001063F0">
        <w:t>of substances which can cause danger to p</w:t>
      </w:r>
      <w:r>
        <w:t>eople</w:t>
      </w:r>
      <w:r w:rsidR="003208A5">
        <w:t>, premises or equipment. The danger can come</w:t>
      </w:r>
      <w:r>
        <w:t xml:space="preserve"> from either energetic </w:t>
      </w:r>
      <w:proofErr w:type="gramStart"/>
      <w:r>
        <w:t>events</w:t>
      </w:r>
      <w:proofErr w:type="gramEnd"/>
      <w:r>
        <w:t xml:space="preserve">, </w:t>
      </w:r>
      <w:r w:rsidR="005450F3">
        <w:t xml:space="preserve">potential explosive, flammable, </w:t>
      </w:r>
      <w:r>
        <w:t>oxidising</w:t>
      </w:r>
      <w:r w:rsidR="005450F3">
        <w:t xml:space="preserve">, corrosive or </w:t>
      </w:r>
      <w:r>
        <w:t>even inert</w:t>
      </w:r>
      <w:r w:rsidR="005450F3">
        <w:t xml:space="preserve"> atmospheres,</w:t>
      </w:r>
      <w:r w:rsidR="001063F0">
        <w:t xml:space="preserve"> whether they are bought in or occ</w:t>
      </w:r>
      <w:r w:rsidR="0052416B">
        <w:t>ur as a result of a work activity</w:t>
      </w:r>
      <w:r w:rsidR="004D4FCC">
        <w:t>.</w:t>
      </w:r>
    </w:p>
    <w:p w:rsidR="00AC1FBC" w:rsidRDefault="00AC1FBC" w:rsidP="00AC1FBC">
      <w:pPr>
        <w:pStyle w:val="HSSNumberedlist"/>
      </w:pPr>
      <w:r>
        <w:t xml:space="preserve">In open-plan, multi-occupancy spaces it is important to think about the classes and quantities of dangerous substances in the whole space. For further guidance on the management of these areas, please see the following </w:t>
      </w:r>
      <w:hyperlink r:id="rId12" w:history="1">
        <w:r w:rsidRPr="00D81012">
          <w:rPr>
            <w:rStyle w:val="Hyperlink"/>
          </w:rPr>
          <w:t>http://www.healthandsafety.manchester.ac.uk/toolkits/safety_management/</w:t>
        </w:r>
      </w:hyperlink>
      <w:r>
        <w:t xml:space="preserve"> </w:t>
      </w:r>
      <w:proofErr w:type="gramStart"/>
      <w:r>
        <w:t>The</w:t>
      </w:r>
      <w:proofErr w:type="gramEnd"/>
      <w:r>
        <w:t xml:space="preserve"> local health and safety arrangements document may also provide useful information.</w:t>
      </w:r>
    </w:p>
    <w:p w:rsidR="00D37A43" w:rsidRDefault="00C34207" w:rsidP="001063F0">
      <w:pPr>
        <w:pStyle w:val="HSSNumberedlist"/>
      </w:pPr>
      <w:r>
        <w:t>Following Part 1 there are two</w:t>
      </w:r>
      <w:r w:rsidR="00D37A43">
        <w:t xml:space="preserve"> rough </w:t>
      </w:r>
      <w:r w:rsidR="00AC1FBC">
        <w:t xml:space="preserve">example </w:t>
      </w:r>
      <w:r w:rsidR="00D37A43">
        <w:t>calculations which can be adapted to a w</w:t>
      </w:r>
      <w:r w:rsidR="00AC1FBC">
        <w:t>orkspace which may be useful to assist with the decision whether it is necessary to proceed with Part 2.</w:t>
      </w:r>
      <w:r>
        <w:t xml:space="preserve"> If, for example there is only a small amount of flammable solvent in a large space and the calculations suggest that even if there was a spill of all the solvent the lower explosive limit would not be reached, then no further action would be required.</w:t>
      </w:r>
    </w:p>
    <w:p w:rsidR="001063F0" w:rsidRDefault="00DE402A" w:rsidP="001063F0">
      <w:pPr>
        <w:pStyle w:val="HSSNumberedlist"/>
      </w:pPr>
      <w:r>
        <w:t>Part 2</w:t>
      </w:r>
      <w:r w:rsidR="00484E98">
        <w:t xml:space="preserve"> </w:t>
      </w:r>
      <w:r w:rsidR="00AC1FBC">
        <w:t xml:space="preserve">of this document </w:t>
      </w:r>
      <w:r w:rsidR="00484E98">
        <w:t>su</w:t>
      </w:r>
      <w:r w:rsidR="0052416B">
        <w:t>ggests points to be considered i</w:t>
      </w:r>
      <w:r w:rsidR="00484E98">
        <w:t>n order that there are suitable</w:t>
      </w:r>
      <w:r w:rsidR="005450F3">
        <w:t xml:space="preserve"> controls </w:t>
      </w:r>
      <w:r w:rsidR="00484E98">
        <w:t xml:space="preserve">in place </w:t>
      </w:r>
      <w:r w:rsidR="001063F0">
        <w:t>to ensure that</w:t>
      </w:r>
      <w:r w:rsidR="00484E98">
        <w:t xml:space="preserve"> dangerous substances are</w:t>
      </w:r>
      <w:r w:rsidR="001063F0">
        <w:t xml:space="preserve"> </w:t>
      </w:r>
      <w:r w:rsidR="00484E98">
        <w:t>transported, stored</w:t>
      </w:r>
      <w:r w:rsidR="001063F0">
        <w:t>, used</w:t>
      </w:r>
      <w:r w:rsidR="00484E98">
        <w:t>, produced</w:t>
      </w:r>
      <w:r w:rsidR="001063F0">
        <w:t xml:space="preserve"> and disposed of in a safe way, and what actions are required to mitigate any effects of an accidental or uncontrolled release.</w:t>
      </w:r>
    </w:p>
    <w:p w:rsidR="00D37A43" w:rsidRDefault="00D37A43" w:rsidP="001063F0">
      <w:pPr>
        <w:pStyle w:val="HSSNumberedlist"/>
      </w:pPr>
      <w:r>
        <w:t>It is not necessary to carry out a separate risk assessment for the ‘dangerous substances’ if the hazards and control measures associated with these are written into a general risk assessment.</w:t>
      </w:r>
    </w:p>
    <w:p w:rsidR="002F0AA7" w:rsidRDefault="001063F0" w:rsidP="001063F0">
      <w:pPr>
        <w:pStyle w:val="HSSNumberedlist"/>
      </w:pPr>
      <w:r>
        <w:t>This risk assessment is not designed to be a comprehensive chemical risk assessment (which is a combination of the requirements of the Control of Substances Hazardo</w:t>
      </w:r>
      <w:r w:rsidR="007A65E4">
        <w:t>us to Health (COSHH) and DSEAR), nor is it designed to be used where chemicals are to be mixed deliberately in order to</w:t>
      </w:r>
      <w:r w:rsidR="002F0AA7">
        <w:t xml:space="preserve"> facilitate a chemical reaction</w:t>
      </w:r>
      <w:r w:rsidR="00C556E5">
        <w:t>.</w:t>
      </w:r>
    </w:p>
    <w:p w:rsidR="00EC6AEB" w:rsidRDefault="00EC6AEB" w:rsidP="00EC6AEB">
      <w:pPr>
        <w:pStyle w:val="HSSNumberedlist"/>
        <w:numPr>
          <w:ilvl w:val="0"/>
          <w:numId w:val="0"/>
        </w:numPr>
        <w:ind w:left="714" w:hanging="357"/>
      </w:pPr>
    </w:p>
    <w:p w:rsidR="00EC6AEB" w:rsidRDefault="00EC6AEB" w:rsidP="00EC6AEB">
      <w:pPr>
        <w:pStyle w:val="HSSNumberedlist"/>
        <w:numPr>
          <w:ilvl w:val="0"/>
          <w:numId w:val="0"/>
        </w:numPr>
        <w:ind w:left="714" w:hanging="357"/>
      </w:pPr>
    </w:p>
    <w:p w:rsidR="00EC6AEB" w:rsidRDefault="00EC6AEB" w:rsidP="00EC6AEB">
      <w:pPr>
        <w:pStyle w:val="HSSNumberedlist"/>
        <w:numPr>
          <w:ilvl w:val="0"/>
          <w:numId w:val="0"/>
        </w:numPr>
        <w:ind w:left="714" w:hanging="357"/>
      </w:pPr>
    </w:p>
    <w:p w:rsidR="00DE5D12" w:rsidRDefault="00DE5D12" w:rsidP="00EC6AEB">
      <w:pPr>
        <w:pStyle w:val="HSSNumberedlist"/>
        <w:numPr>
          <w:ilvl w:val="0"/>
          <w:numId w:val="0"/>
        </w:numPr>
        <w:ind w:left="714" w:hanging="357"/>
      </w:pPr>
    </w:p>
    <w:p w:rsidR="00DE402A" w:rsidRDefault="00DE402A" w:rsidP="00EC6AEB">
      <w:pPr>
        <w:pStyle w:val="HSSNumberedlist"/>
        <w:numPr>
          <w:ilvl w:val="0"/>
          <w:numId w:val="0"/>
        </w:numPr>
        <w:ind w:left="714" w:hanging="357"/>
      </w:pPr>
    </w:p>
    <w:p w:rsidR="00EC6AEB" w:rsidRDefault="003208A5" w:rsidP="00EC6AEB">
      <w:pPr>
        <w:pStyle w:val="HSSNumberedlist"/>
        <w:numPr>
          <w:ilvl w:val="0"/>
          <w:numId w:val="0"/>
        </w:numPr>
        <w:ind w:left="714" w:hanging="357"/>
      </w:pPr>
      <w:r>
        <w:t>References</w:t>
      </w:r>
    </w:p>
    <w:p w:rsidR="003208A5" w:rsidRDefault="003208A5" w:rsidP="00EC6AEB">
      <w:pPr>
        <w:pStyle w:val="HSSNumberedlist"/>
        <w:numPr>
          <w:ilvl w:val="0"/>
          <w:numId w:val="0"/>
        </w:numPr>
        <w:ind w:left="714" w:hanging="357"/>
      </w:pPr>
      <w:r>
        <w:t>Dangerous Substances and Explosives Atmospheres Regulations 2002, Approved Code of Practice and guidance, HSE, L138 2</w:t>
      </w:r>
      <w:r w:rsidRPr="00DE5D12">
        <w:rPr>
          <w:vertAlign w:val="superscript"/>
        </w:rPr>
        <w:t>nd</w:t>
      </w:r>
      <w:r>
        <w:t xml:space="preserve"> Edition</w:t>
      </w:r>
    </w:p>
    <w:p w:rsidR="003208A5" w:rsidRDefault="00A11048" w:rsidP="00EC6AEB">
      <w:pPr>
        <w:pStyle w:val="HSSNumberedlist"/>
        <w:numPr>
          <w:ilvl w:val="0"/>
          <w:numId w:val="0"/>
        </w:numPr>
        <w:ind w:left="714" w:hanging="357"/>
      </w:pPr>
      <w:r>
        <w:t>Universi</w:t>
      </w:r>
      <w:r w:rsidR="003208A5">
        <w:t xml:space="preserve">ty of Manchester Safety Services: Guidance on Best Practice in the Management of Open-Plan, Shared laboratories available at: </w:t>
      </w:r>
      <w:hyperlink r:id="rId13" w:history="1">
        <w:r w:rsidRPr="00C34698">
          <w:rPr>
            <w:rStyle w:val="Hyperlink"/>
          </w:rPr>
          <w:t>http://documents.manchester.ac.uk/DocuInfo.aspx?DocID=12903</w:t>
        </w:r>
      </w:hyperlink>
    </w:p>
    <w:p w:rsidR="00A11048" w:rsidRDefault="00A11048" w:rsidP="00EC6AEB">
      <w:pPr>
        <w:pStyle w:val="HSSNumberedlist"/>
        <w:numPr>
          <w:ilvl w:val="0"/>
          <w:numId w:val="0"/>
        </w:numPr>
        <w:ind w:left="714" w:hanging="357"/>
      </w:pPr>
      <w:r>
        <w:t xml:space="preserve">University of Manchester Safety Services: Guidance on the Dangerous Substances and Explosive Atmospheres Regulations 2002 (DSEAR) available at: </w:t>
      </w:r>
      <w:hyperlink r:id="rId14" w:history="1">
        <w:r w:rsidRPr="00C34698">
          <w:rPr>
            <w:rStyle w:val="Hyperlink"/>
          </w:rPr>
          <w:t>http://documents.manchester.ac.uk/display.aspx?DocID=12845</w:t>
        </w:r>
      </w:hyperlink>
    </w:p>
    <w:p w:rsidR="00DE5D12" w:rsidRDefault="00DE5D12" w:rsidP="00EC6AEB">
      <w:pPr>
        <w:pStyle w:val="HSSNumberedlist"/>
        <w:numPr>
          <w:ilvl w:val="0"/>
          <w:numId w:val="0"/>
        </w:numPr>
        <w:ind w:left="714" w:hanging="357"/>
      </w:pPr>
      <w:proofErr w:type="spellStart"/>
      <w:r>
        <w:t>Drager</w:t>
      </w:r>
      <w:proofErr w:type="spellEnd"/>
      <w:r>
        <w:t xml:space="preserve"> Gas List available at: </w:t>
      </w:r>
      <w:hyperlink r:id="rId15" w:history="1">
        <w:r w:rsidR="00DE402A" w:rsidRPr="00C34698">
          <w:rPr>
            <w:rStyle w:val="Hyperlink"/>
          </w:rPr>
          <w:t>http://www.draeger.com/sites/assets/PublishingImages/Products/generic/safety-documents/EN/gaslist-ca-9046375-en.pdf</w:t>
        </w:r>
      </w:hyperlink>
      <w:r w:rsidR="00DE402A">
        <w:t xml:space="preserve"> </w:t>
      </w:r>
    </w:p>
    <w:p w:rsidR="00A11048" w:rsidRDefault="00A11048" w:rsidP="00EC6AEB">
      <w:pPr>
        <w:pStyle w:val="HSSNumberedlist"/>
        <w:numPr>
          <w:ilvl w:val="0"/>
          <w:numId w:val="0"/>
        </w:numPr>
        <w:ind w:left="714" w:hanging="357"/>
      </w:pPr>
    </w:p>
    <w:p w:rsidR="00EC6AEB" w:rsidRDefault="00EC6AEB" w:rsidP="00EC6AEB">
      <w:pPr>
        <w:pStyle w:val="HSSNumberedlist"/>
        <w:numPr>
          <w:ilvl w:val="0"/>
          <w:numId w:val="0"/>
        </w:numPr>
        <w:ind w:left="714" w:hanging="357"/>
      </w:pPr>
    </w:p>
    <w:p w:rsidR="00EC6AEB" w:rsidRDefault="00EC6AEB" w:rsidP="00EC6AEB">
      <w:pPr>
        <w:pStyle w:val="HSSNumberedlist"/>
        <w:numPr>
          <w:ilvl w:val="0"/>
          <w:numId w:val="0"/>
        </w:numPr>
        <w:ind w:left="714" w:hanging="357"/>
      </w:pPr>
    </w:p>
    <w:p w:rsidR="00EC6AEB" w:rsidRDefault="00EC6AEB" w:rsidP="00EC6AEB">
      <w:pPr>
        <w:pStyle w:val="HSSNumberedlist"/>
        <w:numPr>
          <w:ilvl w:val="0"/>
          <w:numId w:val="0"/>
        </w:numPr>
        <w:ind w:left="714" w:hanging="357"/>
      </w:pPr>
    </w:p>
    <w:p w:rsidR="00EC6AEB" w:rsidRDefault="00EC6AEB" w:rsidP="00EC6AEB">
      <w:pPr>
        <w:pStyle w:val="HSSNumberedlist"/>
        <w:numPr>
          <w:ilvl w:val="0"/>
          <w:numId w:val="0"/>
        </w:numPr>
        <w:ind w:left="714" w:hanging="357"/>
      </w:pPr>
    </w:p>
    <w:p w:rsidR="00EC6AEB" w:rsidRDefault="00EC6AEB" w:rsidP="00EC6AEB">
      <w:pPr>
        <w:pStyle w:val="HSSNumberedlist"/>
        <w:numPr>
          <w:ilvl w:val="0"/>
          <w:numId w:val="0"/>
        </w:numPr>
        <w:ind w:left="714" w:hanging="357"/>
      </w:pPr>
    </w:p>
    <w:p w:rsidR="00EC6AEB" w:rsidRDefault="00EC6AEB" w:rsidP="00EC6AEB">
      <w:pPr>
        <w:pStyle w:val="HSSNumberedlist"/>
        <w:numPr>
          <w:ilvl w:val="0"/>
          <w:numId w:val="0"/>
        </w:numPr>
        <w:ind w:left="714" w:hanging="357"/>
      </w:pPr>
    </w:p>
    <w:p w:rsidR="00EC6AEB" w:rsidRDefault="00EC6AEB" w:rsidP="00EC6AEB">
      <w:pPr>
        <w:pStyle w:val="HSSNumberedlist"/>
        <w:numPr>
          <w:ilvl w:val="0"/>
          <w:numId w:val="0"/>
        </w:numPr>
        <w:ind w:left="714" w:hanging="357"/>
        <w:sectPr w:rsidR="00EC6AEB" w:rsidSect="00281A6F">
          <w:headerReference w:type="default" r:id="rId16"/>
          <w:footerReference w:type="default" r:id="rId17"/>
          <w:pgSz w:w="11906" w:h="16838" w:code="9"/>
          <w:pgMar w:top="1440" w:right="1440" w:bottom="1440" w:left="1440" w:header="709" w:footer="709" w:gutter="0"/>
          <w:cols w:space="708"/>
          <w:docGrid w:linePitch="360"/>
        </w:sectPr>
      </w:pPr>
    </w:p>
    <w:p w:rsidR="001063F0" w:rsidRDefault="001063F0" w:rsidP="001063F0"/>
    <w:p w:rsidR="00627CA8" w:rsidRDefault="00627CA8" w:rsidP="001063F0">
      <w:pPr>
        <w:rPr>
          <w:b/>
          <w:sz w:val="24"/>
          <w:szCs w:val="24"/>
        </w:rPr>
      </w:pPr>
      <w:r>
        <w:rPr>
          <w:b/>
          <w:sz w:val="24"/>
          <w:szCs w:val="24"/>
        </w:rPr>
        <w:t>Part 1</w:t>
      </w:r>
    </w:p>
    <w:p w:rsidR="001063F0" w:rsidRPr="0037564C" w:rsidRDefault="00627CA8" w:rsidP="001063F0">
      <w:pPr>
        <w:rPr>
          <w:b/>
          <w:sz w:val="24"/>
          <w:szCs w:val="24"/>
        </w:rPr>
      </w:pPr>
      <w:r>
        <w:rPr>
          <w:b/>
          <w:sz w:val="24"/>
          <w:szCs w:val="24"/>
        </w:rPr>
        <w:t xml:space="preserve">Initial Screening </w:t>
      </w:r>
      <w:r w:rsidR="001063F0" w:rsidRPr="004F2545">
        <w:rPr>
          <w:b/>
          <w:sz w:val="24"/>
          <w:szCs w:val="24"/>
        </w:rPr>
        <w:t>Risk Assessment Template</w:t>
      </w:r>
      <w:r w:rsidR="001063F0">
        <w:rPr>
          <w:b/>
          <w:sz w:val="24"/>
          <w:szCs w:val="24"/>
        </w:rPr>
        <w:t xml:space="preserve"> </w:t>
      </w:r>
    </w:p>
    <w:tbl>
      <w:tblPr>
        <w:tblStyle w:val="TableGrid"/>
        <w:tblW w:w="0" w:type="auto"/>
        <w:tblLook w:val="04A0" w:firstRow="1" w:lastRow="0" w:firstColumn="1" w:lastColumn="0" w:noHBand="0" w:noVBand="1"/>
      </w:tblPr>
      <w:tblGrid>
        <w:gridCol w:w="6487"/>
        <w:gridCol w:w="7229"/>
      </w:tblGrid>
      <w:tr w:rsidR="001063F0" w:rsidTr="002F0AA7">
        <w:tc>
          <w:tcPr>
            <w:tcW w:w="6487" w:type="dxa"/>
          </w:tcPr>
          <w:p w:rsidR="001063F0" w:rsidRDefault="001063F0" w:rsidP="009D1514">
            <w:r>
              <w:t>Faculty/Directorate</w:t>
            </w:r>
          </w:p>
        </w:tc>
        <w:tc>
          <w:tcPr>
            <w:tcW w:w="7229" w:type="dxa"/>
            <w:tcBorders>
              <w:bottom w:val="single" w:sz="4" w:space="0" w:color="auto"/>
            </w:tcBorders>
          </w:tcPr>
          <w:p w:rsidR="001063F0" w:rsidRDefault="001063F0" w:rsidP="009D1514">
            <w:r>
              <w:t>School</w:t>
            </w:r>
          </w:p>
        </w:tc>
      </w:tr>
      <w:tr w:rsidR="001063F0" w:rsidTr="002F0AA7">
        <w:tc>
          <w:tcPr>
            <w:tcW w:w="6487" w:type="dxa"/>
          </w:tcPr>
          <w:p w:rsidR="001063F0" w:rsidRDefault="001063F0" w:rsidP="009D1514">
            <w:r>
              <w:t>Building Name</w:t>
            </w:r>
          </w:p>
        </w:tc>
        <w:tc>
          <w:tcPr>
            <w:tcW w:w="7229" w:type="dxa"/>
            <w:tcBorders>
              <w:bottom w:val="single" w:sz="4" w:space="0" w:color="auto"/>
            </w:tcBorders>
          </w:tcPr>
          <w:p w:rsidR="001063F0" w:rsidRDefault="001063F0" w:rsidP="009D1514">
            <w:r>
              <w:t>Room number/Location</w:t>
            </w:r>
          </w:p>
        </w:tc>
      </w:tr>
    </w:tbl>
    <w:p w:rsidR="001063F0" w:rsidRDefault="001063F0" w:rsidP="001063F0"/>
    <w:p w:rsidR="001063F0" w:rsidRDefault="008220AA" w:rsidP="001063F0">
      <w:r>
        <w:t xml:space="preserve">For any substance </w:t>
      </w:r>
      <w:r w:rsidR="001063F0">
        <w:t>transported,</w:t>
      </w:r>
      <w:r>
        <w:t xml:space="preserve"> stored, used or produced (as a result of a work process or chemical reaction, including by-products and or combustion) </w:t>
      </w:r>
      <w:r w:rsidR="001063F0">
        <w:t xml:space="preserve">in the area, does the hazard information </w:t>
      </w:r>
      <w:r>
        <w:t xml:space="preserve">available on either the packaging, </w:t>
      </w:r>
      <w:r w:rsidR="001063F0">
        <w:t>in the Safety Data Sheet (SDS)</w:t>
      </w:r>
      <w:r>
        <w:t xml:space="preserve"> or in the view of a competent Chemist in the absence of specific hazard information </w:t>
      </w:r>
      <w:r w:rsidR="001063F0">
        <w:t>indicate that the substance is</w:t>
      </w:r>
      <w:r>
        <w:t xml:space="preserve"> (or is likely to be)</w:t>
      </w:r>
      <w:r w:rsidR="001063F0">
        <w:t>:</w:t>
      </w:r>
    </w:p>
    <w:tbl>
      <w:tblPr>
        <w:tblStyle w:val="TableGrid"/>
        <w:tblW w:w="0" w:type="auto"/>
        <w:tblLook w:val="06A0" w:firstRow="1" w:lastRow="0" w:firstColumn="1" w:lastColumn="0" w:noHBand="1" w:noVBand="1"/>
      </w:tblPr>
      <w:tblGrid>
        <w:gridCol w:w="1659"/>
        <w:gridCol w:w="1403"/>
        <w:gridCol w:w="1268"/>
        <w:gridCol w:w="1350"/>
        <w:gridCol w:w="1350"/>
        <w:gridCol w:w="1350"/>
        <w:gridCol w:w="1350"/>
        <w:gridCol w:w="1641"/>
        <w:gridCol w:w="1453"/>
        <w:gridCol w:w="1350"/>
      </w:tblGrid>
      <w:tr w:rsidR="008220AA" w:rsidTr="00B86345">
        <w:tc>
          <w:tcPr>
            <w:tcW w:w="1675" w:type="dxa"/>
            <w:vMerge w:val="restart"/>
            <w:vAlign w:val="bottom"/>
          </w:tcPr>
          <w:p w:rsidR="008220AA" w:rsidRDefault="008220AA" w:rsidP="006525B0">
            <w:pPr>
              <w:pStyle w:val="HSSBodytext"/>
            </w:pPr>
            <w:r>
              <w:t>List substance and total quality transported, stored</w:t>
            </w:r>
            <w:r w:rsidR="00C556E5">
              <w:t>,</w:t>
            </w:r>
            <w:r>
              <w:t xml:space="preserve"> used or produced in litres / Kg </w:t>
            </w:r>
          </w:p>
        </w:tc>
        <w:tc>
          <w:tcPr>
            <w:tcW w:w="1422" w:type="dxa"/>
          </w:tcPr>
          <w:p w:rsidR="008220AA" w:rsidRDefault="008220AA" w:rsidP="00642AD2">
            <w:pPr>
              <w:pStyle w:val="HSSBodytext"/>
            </w:pPr>
            <w:r>
              <w:t xml:space="preserve">Explosive </w:t>
            </w:r>
          </w:p>
        </w:tc>
        <w:tc>
          <w:tcPr>
            <w:tcW w:w="1278" w:type="dxa"/>
          </w:tcPr>
          <w:p w:rsidR="008220AA" w:rsidRDefault="008220AA" w:rsidP="00642AD2">
            <w:r>
              <w:t>Oxidising</w:t>
            </w:r>
          </w:p>
          <w:p w:rsidR="008220AA" w:rsidRDefault="008220AA" w:rsidP="00642AD2">
            <w:pPr>
              <w:pStyle w:val="HSSBodytext"/>
            </w:pPr>
          </w:p>
        </w:tc>
        <w:tc>
          <w:tcPr>
            <w:tcW w:w="1353" w:type="dxa"/>
          </w:tcPr>
          <w:p w:rsidR="008220AA" w:rsidRDefault="008220AA" w:rsidP="00642AD2">
            <w:pPr>
              <w:pStyle w:val="HSSBodytext"/>
            </w:pPr>
            <w:r>
              <w:t>Extremely Flammable Liquids Cat 1</w:t>
            </w:r>
            <w:r w:rsidRPr="00730DEE">
              <w:rPr>
                <w:color w:val="FF0000"/>
              </w:rPr>
              <w:t>*</w:t>
            </w:r>
          </w:p>
        </w:tc>
        <w:tc>
          <w:tcPr>
            <w:tcW w:w="1353" w:type="dxa"/>
          </w:tcPr>
          <w:p w:rsidR="008220AA" w:rsidRDefault="008220AA" w:rsidP="00642AD2">
            <w:r>
              <w:t>Highly Flammable Liquids Cat 2</w:t>
            </w:r>
            <w:r w:rsidRPr="00730DEE">
              <w:rPr>
                <w:color w:val="FF0000"/>
              </w:rPr>
              <w:t>**</w:t>
            </w:r>
          </w:p>
          <w:p w:rsidR="008220AA" w:rsidRDefault="008220AA" w:rsidP="00642AD2">
            <w:pPr>
              <w:pStyle w:val="HSSBodytext"/>
            </w:pPr>
          </w:p>
        </w:tc>
        <w:tc>
          <w:tcPr>
            <w:tcW w:w="1353" w:type="dxa"/>
          </w:tcPr>
          <w:p w:rsidR="008220AA" w:rsidRDefault="008220AA" w:rsidP="00642AD2">
            <w:r>
              <w:t>Flammable Liquids Cat 3</w:t>
            </w:r>
            <w:r w:rsidRPr="00730DEE">
              <w:rPr>
                <w:color w:val="FF0000"/>
              </w:rPr>
              <w:t>***</w:t>
            </w:r>
          </w:p>
          <w:p w:rsidR="008220AA" w:rsidRDefault="008220AA" w:rsidP="00642AD2">
            <w:pPr>
              <w:pStyle w:val="HSSBodytext"/>
            </w:pPr>
          </w:p>
        </w:tc>
        <w:tc>
          <w:tcPr>
            <w:tcW w:w="1365" w:type="dxa"/>
          </w:tcPr>
          <w:p w:rsidR="008220AA" w:rsidRDefault="008220AA" w:rsidP="00642AD2">
            <w:r>
              <w:t xml:space="preserve">Corrosive to metal </w:t>
            </w:r>
          </w:p>
        </w:tc>
        <w:tc>
          <w:tcPr>
            <w:tcW w:w="1569" w:type="dxa"/>
          </w:tcPr>
          <w:p w:rsidR="008220AA" w:rsidRDefault="008220AA" w:rsidP="00642AD2">
            <w:r>
              <w:t xml:space="preserve">Compressed Gas </w:t>
            </w:r>
          </w:p>
          <w:p w:rsidR="008220AA" w:rsidRDefault="008220AA" w:rsidP="00642AD2">
            <w:r>
              <w:t xml:space="preserve">Extremely Flammable*, </w:t>
            </w:r>
          </w:p>
          <w:p w:rsidR="008220AA" w:rsidRDefault="008220AA" w:rsidP="00642AD2">
            <w:r>
              <w:t>Flammable**</w:t>
            </w:r>
            <w:r w:rsidR="006525B0">
              <w:t>,</w:t>
            </w:r>
          </w:p>
          <w:p w:rsidR="008220AA" w:rsidRDefault="008220AA" w:rsidP="00642AD2">
            <w:pPr>
              <w:pStyle w:val="HSSBodytext"/>
            </w:pPr>
            <w:r>
              <w:t>Oxidising</w:t>
            </w:r>
          </w:p>
        </w:tc>
        <w:tc>
          <w:tcPr>
            <w:tcW w:w="1453" w:type="dxa"/>
          </w:tcPr>
          <w:p w:rsidR="008220AA" w:rsidRDefault="008220AA" w:rsidP="00642AD2">
            <w:r>
              <w:t>Compressed Gas</w:t>
            </w:r>
          </w:p>
          <w:p w:rsidR="008220AA" w:rsidRDefault="008220AA" w:rsidP="00642AD2">
            <w:pPr>
              <w:pStyle w:val="HSSBodytext"/>
            </w:pPr>
            <w:r>
              <w:t>Inert</w:t>
            </w:r>
          </w:p>
        </w:tc>
        <w:tc>
          <w:tcPr>
            <w:tcW w:w="1353" w:type="dxa"/>
          </w:tcPr>
          <w:p w:rsidR="008220AA" w:rsidRDefault="008220AA" w:rsidP="00642AD2">
            <w:pPr>
              <w:pStyle w:val="HSSBodytext"/>
            </w:pPr>
            <w:r>
              <w:t>Aerosol - Flammable</w:t>
            </w:r>
          </w:p>
        </w:tc>
      </w:tr>
      <w:tr w:rsidR="008220AA" w:rsidTr="00DD0D89">
        <w:tc>
          <w:tcPr>
            <w:tcW w:w="1675" w:type="dxa"/>
            <w:vMerge/>
            <w:tcBorders>
              <w:bottom w:val="single" w:sz="4" w:space="0" w:color="auto"/>
            </w:tcBorders>
          </w:tcPr>
          <w:p w:rsidR="008220AA" w:rsidRDefault="008220AA" w:rsidP="00642AD2">
            <w:pPr>
              <w:pStyle w:val="HSSBodytext"/>
              <w:rPr>
                <w:noProof/>
                <w:lang w:eastAsia="en-GB"/>
              </w:rPr>
            </w:pPr>
          </w:p>
        </w:tc>
        <w:tc>
          <w:tcPr>
            <w:tcW w:w="1422" w:type="dxa"/>
            <w:tcBorders>
              <w:bottom w:val="single" w:sz="4" w:space="0" w:color="auto"/>
            </w:tcBorders>
          </w:tcPr>
          <w:p w:rsidR="008220AA" w:rsidRDefault="008220AA" w:rsidP="00642AD2">
            <w:pPr>
              <w:pStyle w:val="HSSBodytext"/>
            </w:pPr>
            <w:r>
              <w:rPr>
                <w:noProof/>
                <w:lang w:eastAsia="en-GB"/>
              </w:rPr>
              <w:drawing>
                <wp:inline distT="0" distB="0" distL="0" distR="0" wp14:anchorId="06C158F1" wp14:editId="427DC08F">
                  <wp:extent cx="477078" cy="477078"/>
                  <wp:effectExtent l="0" t="0" r="0" b="0"/>
                  <wp:docPr id="15" name="Picture 15" descr="C:\Users\mbdssema\AppData\Local\Microsoft\Windows\Temporary Internet Files\Content.IE5\G4H8M2JH\200px-GHS-pictogram-explos.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dssema\AppData\Local\Microsoft\Windows\Temporary Internet Files\Content.IE5\G4H8M2JH\200px-GHS-pictogram-explos.svg[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7042" cy="477042"/>
                          </a:xfrm>
                          <a:prstGeom prst="rect">
                            <a:avLst/>
                          </a:prstGeom>
                          <a:noFill/>
                          <a:ln>
                            <a:noFill/>
                          </a:ln>
                        </pic:spPr>
                      </pic:pic>
                    </a:graphicData>
                  </a:graphic>
                </wp:inline>
              </w:drawing>
            </w:r>
          </w:p>
        </w:tc>
        <w:tc>
          <w:tcPr>
            <w:tcW w:w="1278" w:type="dxa"/>
            <w:tcBorders>
              <w:bottom w:val="single" w:sz="4" w:space="0" w:color="auto"/>
            </w:tcBorders>
          </w:tcPr>
          <w:p w:rsidR="008220AA" w:rsidRDefault="008220AA" w:rsidP="00642AD2">
            <w:pPr>
              <w:pStyle w:val="HSSBodytext"/>
            </w:pPr>
            <w:r>
              <w:rPr>
                <w:noProof/>
                <w:lang w:eastAsia="en-GB"/>
              </w:rPr>
              <w:drawing>
                <wp:inline distT="0" distB="0" distL="0" distR="0" wp14:anchorId="6D5111D4" wp14:editId="5A25D0B9">
                  <wp:extent cx="492981" cy="492981"/>
                  <wp:effectExtent l="0" t="0" r="254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2945" cy="492945"/>
                          </a:xfrm>
                          <a:prstGeom prst="rect">
                            <a:avLst/>
                          </a:prstGeom>
                          <a:noFill/>
                          <a:ln>
                            <a:noFill/>
                          </a:ln>
                        </pic:spPr>
                      </pic:pic>
                    </a:graphicData>
                  </a:graphic>
                </wp:inline>
              </w:drawing>
            </w:r>
          </w:p>
        </w:tc>
        <w:tc>
          <w:tcPr>
            <w:tcW w:w="1353" w:type="dxa"/>
            <w:tcBorders>
              <w:bottom w:val="single" w:sz="4" w:space="0" w:color="auto"/>
            </w:tcBorders>
          </w:tcPr>
          <w:p w:rsidR="008220AA" w:rsidRDefault="008220AA" w:rsidP="00642AD2">
            <w:pPr>
              <w:pStyle w:val="HSSBodytext"/>
            </w:pPr>
            <w:r>
              <w:rPr>
                <w:noProof/>
                <w:lang w:eastAsia="en-GB"/>
              </w:rPr>
              <w:drawing>
                <wp:inline distT="0" distB="0" distL="0" distR="0" wp14:anchorId="77C539D2" wp14:editId="64482DB7">
                  <wp:extent cx="477078" cy="477078"/>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7044" cy="477044"/>
                          </a:xfrm>
                          <a:prstGeom prst="rect">
                            <a:avLst/>
                          </a:prstGeom>
                          <a:noFill/>
                          <a:ln>
                            <a:noFill/>
                          </a:ln>
                        </pic:spPr>
                      </pic:pic>
                    </a:graphicData>
                  </a:graphic>
                </wp:inline>
              </w:drawing>
            </w:r>
          </w:p>
        </w:tc>
        <w:tc>
          <w:tcPr>
            <w:tcW w:w="1353" w:type="dxa"/>
            <w:tcBorders>
              <w:bottom w:val="single" w:sz="4" w:space="0" w:color="auto"/>
            </w:tcBorders>
          </w:tcPr>
          <w:p w:rsidR="008220AA" w:rsidRDefault="008220AA" w:rsidP="00642AD2">
            <w:pPr>
              <w:pStyle w:val="HSSBodytext"/>
            </w:pPr>
            <w:r>
              <w:rPr>
                <w:noProof/>
                <w:lang w:eastAsia="en-GB"/>
              </w:rPr>
              <w:drawing>
                <wp:inline distT="0" distB="0" distL="0" distR="0" wp14:anchorId="400EAC0F" wp14:editId="0DEB887B">
                  <wp:extent cx="477078" cy="477078"/>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7044" cy="477044"/>
                          </a:xfrm>
                          <a:prstGeom prst="rect">
                            <a:avLst/>
                          </a:prstGeom>
                          <a:noFill/>
                          <a:ln>
                            <a:noFill/>
                          </a:ln>
                        </pic:spPr>
                      </pic:pic>
                    </a:graphicData>
                  </a:graphic>
                </wp:inline>
              </w:drawing>
            </w:r>
          </w:p>
        </w:tc>
        <w:tc>
          <w:tcPr>
            <w:tcW w:w="1353" w:type="dxa"/>
            <w:tcBorders>
              <w:bottom w:val="single" w:sz="4" w:space="0" w:color="auto"/>
            </w:tcBorders>
          </w:tcPr>
          <w:p w:rsidR="008220AA" w:rsidRDefault="008220AA" w:rsidP="00642AD2">
            <w:pPr>
              <w:pStyle w:val="HSSBodytext"/>
            </w:pPr>
            <w:r>
              <w:rPr>
                <w:noProof/>
                <w:lang w:eastAsia="en-GB"/>
              </w:rPr>
              <w:drawing>
                <wp:inline distT="0" distB="0" distL="0" distR="0" wp14:anchorId="1FDF7FAC" wp14:editId="5C31AAAC">
                  <wp:extent cx="477078" cy="477078"/>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7044" cy="477044"/>
                          </a:xfrm>
                          <a:prstGeom prst="rect">
                            <a:avLst/>
                          </a:prstGeom>
                          <a:noFill/>
                          <a:ln>
                            <a:noFill/>
                          </a:ln>
                        </pic:spPr>
                      </pic:pic>
                    </a:graphicData>
                  </a:graphic>
                </wp:inline>
              </w:drawing>
            </w:r>
          </w:p>
        </w:tc>
        <w:tc>
          <w:tcPr>
            <w:tcW w:w="1365" w:type="dxa"/>
            <w:tcBorders>
              <w:bottom w:val="single" w:sz="4" w:space="0" w:color="auto"/>
            </w:tcBorders>
          </w:tcPr>
          <w:p w:rsidR="008220AA" w:rsidRDefault="008220AA" w:rsidP="00642AD2">
            <w:pPr>
              <w:pStyle w:val="HSSBodytext"/>
              <w:rPr>
                <w:noProof/>
                <w:lang w:eastAsia="en-GB"/>
              </w:rPr>
            </w:pPr>
            <w:r>
              <w:rPr>
                <w:noProof/>
                <w:lang w:eastAsia="en-GB"/>
              </w:rPr>
              <w:drawing>
                <wp:inline distT="0" distB="0" distL="0" distR="0" wp14:anchorId="786D635F" wp14:editId="178A1A04">
                  <wp:extent cx="460800" cy="460800"/>
                  <wp:effectExtent l="0" t="0" r="0" b="0"/>
                  <wp:docPr id="32" name="Picture 19"/>
                  <wp:cNvGraphicFramePr/>
                  <a:graphic xmlns:a="http://schemas.openxmlformats.org/drawingml/2006/main">
                    <a:graphicData uri="http://schemas.openxmlformats.org/drawingml/2006/picture">
                      <pic:pic xmlns:pic="http://schemas.openxmlformats.org/drawingml/2006/picture">
                        <pic:nvPicPr>
                          <pic:cNvPr id="2" name="Picture 19"/>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0800" cy="460800"/>
                          </a:xfrm>
                          <a:prstGeom prst="rect">
                            <a:avLst/>
                          </a:prstGeom>
                          <a:noFill/>
                          <a:ln>
                            <a:noFill/>
                          </a:ln>
                        </pic:spPr>
                      </pic:pic>
                    </a:graphicData>
                  </a:graphic>
                </wp:inline>
              </w:drawing>
            </w:r>
          </w:p>
        </w:tc>
        <w:tc>
          <w:tcPr>
            <w:tcW w:w="1569" w:type="dxa"/>
            <w:tcBorders>
              <w:bottom w:val="single" w:sz="4" w:space="0" w:color="auto"/>
            </w:tcBorders>
          </w:tcPr>
          <w:p w:rsidR="008220AA" w:rsidRDefault="008220AA" w:rsidP="00642AD2">
            <w:pPr>
              <w:pStyle w:val="HSSBodytext"/>
            </w:pPr>
            <w:r>
              <w:rPr>
                <w:noProof/>
                <w:lang w:eastAsia="en-GB"/>
              </w:rPr>
              <w:drawing>
                <wp:inline distT="0" distB="0" distL="0" distR="0" wp14:anchorId="2814D183" wp14:editId="41B6620F">
                  <wp:extent cx="461176" cy="461176"/>
                  <wp:effectExtent l="0" t="0" r="0" b="0"/>
                  <wp:docPr id="33" name="Picture 33" descr="C:\Users\mbdssema\AppData\Local\Microsoft\Windows\Temporary Internet Files\Content.IE5\7H8F7LB2\120px-GHS-pictogram-bottle.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bdssema\AppData\Local\Microsoft\Windows\Temporary Internet Files\Content.IE5\7H8F7LB2\120px-GHS-pictogram-bottle.svg[1].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1143" cy="461143"/>
                          </a:xfrm>
                          <a:prstGeom prst="rect">
                            <a:avLst/>
                          </a:prstGeom>
                          <a:noFill/>
                          <a:ln>
                            <a:noFill/>
                          </a:ln>
                        </pic:spPr>
                      </pic:pic>
                    </a:graphicData>
                  </a:graphic>
                </wp:inline>
              </w:drawing>
            </w:r>
          </w:p>
        </w:tc>
        <w:tc>
          <w:tcPr>
            <w:tcW w:w="1453" w:type="dxa"/>
            <w:tcBorders>
              <w:bottom w:val="single" w:sz="4" w:space="0" w:color="auto"/>
            </w:tcBorders>
          </w:tcPr>
          <w:p w:rsidR="008220AA" w:rsidRDefault="008220AA" w:rsidP="00642AD2">
            <w:pPr>
              <w:pStyle w:val="HSSBodytext"/>
            </w:pPr>
            <w:r>
              <w:rPr>
                <w:noProof/>
                <w:lang w:eastAsia="en-GB"/>
              </w:rPr>
              <w:drawing>
                <wp:inline distT="0" distB="0" distL="0" distR="0" wp14:anchorId="0CDCC0A1" wp14:editId="0BD6988A">
                  <wp:extent cx="461176" cy="461176"/>
                  <wp:effectExtent l="0" t="0" r="0" b="0"/>
                  <wp:docPr id="34" name="Picture 34" descr="C:\Users\mbdssema\AppData\Local\Microsoft\Windows\Temporary Internet Files\Content.IE5\7H8F7LB2\120px-GHS-pictogram-bottle.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bdssema\AppData\Local\Microsoft\Windows\Temporary Internet Files\Content.IE5\7H8F7LB2\120px-GHS-pictogram-bottle.svg[1].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1143" cy="461143"/>
                          </a:xfrm>
                          <a:prstGeom prst="rect">
                            <a:avLst/>
                          </a:prstGeom>
                          <a:noFill/>
                          <a:ln>
                            <a:noFill/>
                          </a:ln>
                        </pic:spPr>
                      </pic:pic>
                    </a:graphicData>
                  </a:graphic>
                </wp:inline>
              </w:drawing>
            </w:r>
          </w:p>
        </w:tc>
        <w:tc>
          <w:tcPr>
            <w:tcW w:w="1353" w:type="dxa"/>
            <w:tcBorders>
              <w:bottom w:val="single" w:sz="4" w:space="0" w:color="auto"/>
            </w:tcBorders>
          </w:tcPr>
          <w:p w:rsidR="008220AA" w:rsidRDefault="008220AA" w:rsidP="00642AD2">
            <w:pPr>
              <w:pStyle w:val="HSSBodytext"/>
            </w:pPr>
            <w:r>
              <w:rPr>
                <w:noProof/>
                <w:lang w:eastAsia="en-GB"/>
              </w:rPr>
              <w:drawing>
                <wp:inline distT="0" distB="0" distL="0" distR="0" wp14:anchorId="42A69483" wp14:editId="0B9C5024">
                  <wp:extent cx="477078" cy="477078"/>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7044" cy="477044"/>
                          </a:xfrm>
                          <a:prstGeom prst="rect">
                            <a:avLst/>
                          </a:prstGeom>
                          <a:noFill/>
                          <a:ln>
                            <a:noFill/>
                          </a:ln>
                        </pic:spPr>
                      </pic:pic>
                    </a:graphicData>
                  </a:graphic>
                </wp:inline>
              </w:drawing>
            </w:r>
          </w:p>
        </w:tc>
      </w:tr>
      <w:tr w:rsidR="008220AA" w:rsidTr="00DD0D89">
        <w:tc>
          <w:tcPr>
            <w:tcW w:w="1675" w:type="dxa"/>
            <w:tcBorders>
              <w:top w:val="single" w:sz="4" w:space="0" w:color="auto"/>
              <w:left w:val="single" w:sz="4" w:space="0" w:color="auto"/>
              <w:bottom w:val="nil"/>
              <w:right w:val="nil"/>
            </w:tcBorders>
          </w:tcPr>
          <w:p w:rsidR="008220AA" w:rsidRDefault="008220AA" w:rsidP="008220AA">
            <w:pPr>
              <w:pStyle w:val="HSSBodytext"/>
            </w:pPr>
          </w:p>
        </w:tc>
        <w:tc>
          <w:tcPr>
            <w:tcW w:w="1422" w:type="dxa"/>
            <w:tcBorders>
              <w:top w:val="single" w:sz="4" w:space="0" w:color="auto"/>
              <w:left w:val="nil"/>
              <w:bottom w:val="nil"/>
              <w:right w:val="nil"/>
            </w:tcBorders>
          </w:tcPr>
          <w:p w:rsidR="008220AA" w:rsidRDefault="008220AA" w:rsidP="00642AD2">
            <w:pPr>
              <w:pStyle w:val="HSSBodytext"/>
            </w:pPr>
          </w:p>
        </w:tc>
        <w:tc>
          <w:tcPr>
            <w:tcW w:w="1278" w:type="dxa"/>
            <w:tcBorders>
              <w:top w:val="single" w:sz="4" w:space="0" w:color="auto"/>
              <w:left w:val="nil"/>
              <w:bottom w:val="nil"/>
              <w:right w:val="nil"/>
            </w:tcBorders>
          </w:tcPr>
          <w:p w:rsidR="008220AA" w:rsidRDefault="008220AA" w:rsidP="00642AD2">
            <w:pPr>
              <w:pStyle w:val="HSSBodytext"/>
            </w:pPr>
          </w:p>
        </w:tc>
        <w:tc>
          <w:tcPr>
            <w:tcW w:w="1353" w:type="dxa"/>
            <w:tcBorders>
              <w:top w:val="single" w:sz="4" w:space="0" w:color="auto"/>
              <w:left w:val="nil"/>
              <w:bottom w:val="nil"/>
              <w:right w:val="nil"/>
            </w:tcBorders>
          </w:tcPr>
          <w:p w:rsidR="008220AA" w:rsidRDefault="008220AA" w:rsidP="00642AD2">
            <w:pPr>
              <w:pStyle w:val="HSSBodytext"/>
            </w:pPr>
          </w:p>
        </w:tc>
        <w:tc>
          <w:tcPr>
            <w:tcW w:w="1353" w:type="dxa"/>
            <w:tcBorders>
              <w:top w:val="single" w:sz="4" w:space="0" w:color="auto"/>
              <w:left w:val="nil"/>
              <w:bottom w:val="nil"/>
              <w:right w:val="nil"/>
            </w:tcBorders>
          </w:tcPr>
          <w:p w:rsidR="008220AA" w:rsidRDefault="008220AA" w:rsidP="00642AD2">
            <w:pPr>
              <w:pStyle w:val="HSSBodytext"/>
            </w:pPr>
          </w:p>
        </w:tc>
        <w:tc>
          <w:tcPr>
            <w:tcW w:w="1353" w:type="dxa"/>
            <w:tcBorders>
              <w:top w:val="single" w:sz="4" w:space="0" w:color="auto"/>
              <w:left w:val="nil"/>
              <w:bottom w:val="nil"/>
              <w:right w:val="nil"/>
            </w:tcBorders>
          </w:tcPr>
          <w:p w:rsidR="008220AA" w:rsidRDefault="008220AA" w:rsidP="00642AD2">
            <w:pPr>
              <w:pStyle w:val="HSSBodytext"/>
            </w:pPr>
          </w:p>
        </w:tc>
        <w:tc>
          <w:tcPr>
            <w:tcW w:w="1365" w:type="dxa"/>
            <w:tcBorders>
              <w:top w:val="single" w:sz="4" w:space="0" w:color="auto"/>
              <w:left w:val="nil"/>
              <w:bottom w:val="nil"/>
              <w:right w:val="nil"/>
            </w:tcBorders>
          </w:tcPr>
          <w:p w:rsidR="008220AA" w:rsidRDefault="008220AA" w:rsidP="00642AD2">
            <w:pPr>
              <w:pStyle w:val="HSSBodytext"/>
            </w:pPr>
          </w:p>
        </w:tc>
        <w:tc>
          <w:tcPr>
            <w:tcW w:w="1569" w:type="dxa"/>
            <w:tcBorders>
              <w:top w:val="single" w:sz="4" w:space="0" w:color="auto"/>
              <w:left w:val="nil"/>
              <w:bottom w:val="nil"/>
              <w:right w:val="nil"/>
            </w:tcBorders>
          </w:tcPr>
          <w:p w:rsidR="008220AA" w:rsidRDefault="008220AA" w:rsidP="00642AD2">
            <w:pPr>
              <w:pStyle w:val="HSSBodytext"/>
            </w:pPr>
          </w:p>
        </w:tc>
        <w:tc>
          <w:tcPr>
            <w:tcW w:w="1453" w:type="dxa"/>
            <w:tcBorders>
              <w:top w:val="single" w:sz="4" w:space="0" w:color="auto"/>
              <w:left w:val="nil"/>
              <w:bottom w:val="nil"/>
              <w:right w:val="nil"/>
            </w:tcBorders>
          </w:tcPr>
          <w:p w:rsidR="008220AA" w:rsidRDefault="008220AA" w:rsidP="00642AD2">
            <w:pPr>
              <w:pStyle w:val="HSSBodytext"/>
            </w:pPr>
          </w:p>
        </w:tc>
        <w:tc>
          <w:tcPr>
            <w:tcW w:w="1353" w:type="dxa"/>
            <w:tcBorders>
              <w:top w:val="single" w:sz="4" w:space="0" w:color="auto"/>
              <w:left w:val="nil"/>
              <w:bottom w:val="nil"/>
              <w:right w:val="single" w:sz="4" w:space="0" w:color="auto"/>
            </w:tcBorders>
          </w:tcPr>
          <w:p w:rsidR="008220AA" w:rsidRDefault="008220AA" w:rsidP="00642AD2">
            <w:pPr>
              <w:pStyle w:val="HSSBodytext"/>
            </w:pPr>
          </w:p>
        </w:tc>
      </w:tr>
      <w:tr w:rsidR="00C556E5" w:rsidTr="00DD0D89">
        <w:tc>
          <w:tcPr>
            <w:tcW w:w="1675" w:type="dxa"/>
            <w:tcBorders>
              <w:top w:val="nil"/>
              <w:left w:val="single" w:sz="4" w:space="0" w:color="auto"/>
              <w:bottom w:val="nil"/>
              <w:right w:val="nil"/>
            </w:tcBorders>
          </w:tcPr>
          <w:p w:rsidR="00C556E5" w:rsidRDefault="00C556E5" w:rsidP="008220AA">
            <w:pPr>
              <w:pStyle w:val="HSSBodytext"/>
            </w:pPr>
          </w:p>
        </w:tc>
        <w:tc>
          <w:tcPr>
            <w:tcW w:w="1422" w:type="dxa"/>
            <w:tcBorders>
              <w:top w:val="nil"/>
              <w:left w:val="nil"/>
              <w:bottom w:val="nil"/>
              <w:right w:val="nil"/>
            </w:tcBorders>
          </w:tcPr>
          <w:p w:rsidR="00C556E5" w:rsidRDefault="00C556E5" w:rsidP="00642AD2">
            <w:pPr>
              <w:pStyle w:val="HSSBodytext"/>
            </w:pPr>
          </w:p>
        </w:tc>
        <w:tc>
          <w:tcPr>
            <w:tcW w:w="1278" w:type="dxa"/>
            <w:tcBorders>
              <w:top w:val="nil"/>
              <w:left w:val="nil"/>
              <w:bottom w:val="nil"/>
              <w:right w:val="nil"/>
            </w:tcBorders>
          </w:tcPr>
          <w:p w:rsidR="00C556E5" w:rsidRDefault="00C556E5" w:rsidP="00642AD2">
            <w:pPr>
              <w:pStyle w:val="HSSBodytext"/>
            </w:pPr>
          </w:p>
        </w:tc>
        <w:tc>
          <w:tcPr>
            <w:tcW w:w="1353" w:type="dxa"/>
            <w:tcBorders>
              <w:top w:val="nil"/>
              <w:left w:val="nil"/>
              <w:bottom w:val="nil"/>
              <w:right w:val="nil"/>
            </w:tcBorders>
          </w:tcPr>
          <w:p w:rsidR="00C556E5" w:rsidRDefault="00C556E5" w:rsidP="00642AD2">
            <w:pPr>
              <w:pStyle w:val="HSSBodytext"/>
            </w:pPr>
          </w:p>
        </w:tc>
        <w:tc>
          <w:tcPr>
            <w:tcW w:w="1353" w:type="dxa"/>
            <w:tcBorders>
              <w:top w:val="nil"/>
              <w:left w:val="nil"/>
              <w:bottom w:val="nil"/>
              <w:right w:val="nil"/>
            </w:tcBorders>
          </w:tcPr>
          <w:p w:rsidR="00C556E5" w:rsidRDefault="00C556E5" w:rsidP="00642AD2">
            <w:pPr>
              <w:pStyle w:val="HSSBodytext"/>
            </w:pPr>
          </w:p>
        </w:tc>
        <w:tc>
          <w:tcPr>
            <w:tcW w:w="1353" w:type="dxa"/>
            <w:tcBorders>
              <w:top w:val="nil"/>
              <w:left w:val="nil"/>
              <w:bottom w:val="nil"/>
              <w:right w:val="nil"/>
            </w:tcBorders>
          </w:tcPr>
          <w:p w:rsidR="00C556E5" w:rsidRDefault="00C556E5" w:rsidP="00642AD2">
            <w:pPr>
              <w:pStyle w:val="HSSBodytext"/>
            </w:pPr>
          </w:p>
        </w:tc>
        <w:tc>
          <w:tcPr>
            <w:tcW w:w="1365" w:type="dxa"/>
            <w:tcBorders>
              <w:top w:val="nil"/>
              <w:left w:val="nil"/>
              <w:bottom w:val="nil"/>
              <w:right w:val="nil"/>
            </w:tcBorders>
          </w:tcPr>
          <w:p w:rsidR="00C556E5" w:rsidRDefault="00C556E5" w:rsidP="00642AD2">
            <w:pPr>
              <w:pStyle w:val="HSSBodytext"/>
            </w:pPr>
          </w:p>
        </w:tc>
        <w:tc>
          <w:tcPr>
            <w:tcW w:w="1569" w:type="dxa"/>
            <w:tcBorders>
              <w:top w:val="nil"/>
              <w:left w:val="nil"/>
              <w:bottom w:val="nil"/>
              <w:right w:val="nil"/>
            </w:tcBorders>
          </w:tcPr>
          <w:p w:rsidR="00C556E5" w:rsidRDefault="00C556E5" w:rsidP="00642AD2">
            <w:pPr>
              <w:pStyle w:val="HSSBodytext"/>
            </w:pPr>
          </w:p>
        </w:tc>
        <w:tc>
          <w:tcPr>
            <w:tcW w:w="1453" w:type="dxa"/>
            <w:tcBorders>
              <w:top w:val="nil"/>
              <w:left w:val="nil"/>
              <w:bottom w:val="nil"/>
              <w:right w:val="nil"/>
            </w:tcBorders>
          </w:tcPr>
          <w:p w:rsidR="00C556E5" w:rsidRDefault="00C556E5" w:rsidP="00642AD2">
            <w:pPr>
              <w:pStyle w:val="HSSBodytext"/>
            </w:pPr>
          </w:p>
        </w:tc>
        <w:tc>
          <w:tcPr>
            <w:tcW w:w="1353" w:type="dxa"/>
            <w:tcBorders>
              <w:top w:val="nil"/>
              <w:left w:val="nil"/>
              <w:bottom w:val="nil"/>
              <w:right w:val="single" w:sz="4" w:space="0" w:color="auto"/>
            </w:tcBorders>
          </w:tcPr>
          <w:p w:rsidR="00C556E5" w:rsidRDefault="00C556E5" w:rsidP="00642AD2">
            <w:pPr>
              <w:pStyle w:val="HSSBodytext"/>
            </w:pPr>
          </w:p>
        </w:tc>
      </w:tr>
      <w:tr w:rsidR="00C556E5" w:rsidTr="00DD0D89">
        <w:tc>
          <w:tcPr>
            <w:tcW w:w="1675" w:type="dxa"/>
            <w:tcBorders>
              <w:top w:val="nil"/>
              <w:left w:val="single" w:sz="4" w:space="0" w:color="auto"/>
              <w:bottom w:val="nil"/>
              <w:right w:val="nil"/>
            </w:tcBorders>
          </w:tcPr>
          <w:p w:rsidR="00C556E5" w:rsidRDefault="00C556E5" w:rsidP="008220AA">
            <w:pPr>
              <w:pStyle w:val="HSSBodytext"/>
            </w:pPr>
          </w:p>
        </w:tc>
        <w:tc>
          <w:tcPr>
            <w:tcW w:w="1422" w:type="dxa"/>
            <w:tcBorders>
              <w:top w:val="nil"/>
              <w:left w:val="nil"/>
              <w:bottom w:val="nil"/>
              <w:right w:val="nil"/>
            </w:tcBorders>
          </w:tcPr>
          <w:p w:rsidR="00C556E5" w:rsidRDefault="00C556E5" w:rsidP="00642AD2">
            <w:pPr>
              <w:pStyle w:val="HSSBodytext"/>
            </w:pPr>
          </w:p>
        </w:tc>
        <w:tc>
          <w:tcPr>
            <w:tcW w:w="1278" w:type="dxa"/>
            <w:tcBorders>
              <w:top w:val="nil"/>
              <w:left w:val="nil"/>
              <w:bottom w:val="nil"/>
              <w:right w:val="nil"/>
            </w:tcBorders>
          </w:tcPr>
          <w:p w:rsidR="00C556E5" w:rsidRDefault="00C556E5" w:rsidP="00642AD2">
            <w:pPr>
              <w:pStyle w:val="HSSBodytext"/>
            </w:pPr>
          </w:p>
        </w:tc>
        <w:tc>
          <w:tcPr>
            <w:tcW w:w="1353" w:type="dxa"/>
            <w:tcBorders>
              <w:top w:val="nil"/>
              <w:left w:val="nil"/>
              <w:bottom w:val="nil"/>
              <w:right w:val="nil"/>
            </w:tcBorders>
          </w:tcPr>
          <w:p w:rsidR="00C556E5" w:rsidRDefault="00C556E5" w:rsidP="00642AD2">
            <w:pPr>
              <w:pStyle w:val="HSSBodytext"/>
            </w:pPr>
          </w:p>
        </w:tc>
        <w:tc>
          <w:tcPr>
            <w:tcW w:w="1353" w:type="dxa"/>
            <w:tcBorders>
              <w:top w:val="nil"/>
              <w:left w:val="nil"/>
              <w:bottom w:val="nil"/>
              <w:right w:val="nil"/>
            </w:tcBorders>
          </w:tcPr>
          <w:p w:rsidR="00C556E5" w:rsidRDefault="00C556E5" w:rsidP="00642AD2">
            <w:pPr>
              <w:pStyle w:val="HSSBodytext"/>
            </w:pPr>
          </w:p>
        </w:tc>
        <w:tc>
          <w:tcPr>
            <w:tcW w:w="1353" w:type="dxa"/>
            <w:tcBorders>
              <w:top w:val="nil"/>
              <w:left w:val="nil"/>
              <w:bottom w:val="nil"/>
              <w:right w:val="nil"/>
            </w:tcBorders>
          </w:tcPr>
          <w:p w:rsidR="00C556E5" w:rsidRDefault="00C556E5" w:rsidP="00642AD2">
            <w:pPr>
              <w:pStyle w:val="HSSBodytext"/>
            </w:pPr>
          </w:p>
        </w:tc>
        <w:tc>
          <w:tcPr>
            <w:tcW w:w="1365" w:type="dxa"/>
            <w:tcBorders>
              <w:top w:val="nil"/>
              <w:left w:val="nil"/>
              <w:bottom w:val="nil"/>
              <w:right w:val="nil"/>
            </w:tcBorders>
          </w:tcPr>
          <w:p w:rsidR="00C556E5" w:rsidRDefault="00C556E5" w:rsidP="00642AD2">
            <w:pPr>
              <w:pStyle w:val="HSSBodytext"/>
            </w:pPr>
          </w:p>
        </w:tc>
        <w:tc>
          <w:tcPr>
            <w:tcW w:w="1569" w:type="dxa"/>
            <w:tcBorders>
              <w:top w:val="nil"/>
              <w:left w:val="nil"/>
              <w:bottom w:val="nil"/>
              <w:right w:val="nil"/>
            </w:tcBorders>
          </w:tcPr>
          <w:p w:rsidR="00C556E5" w:rsidRDefault="00C556E5" w:rsidP="00642AD2">
            <w:pPr>
              <w:pStyle w:val="HSSBodytext"/>
            </w:pPr>
          </w:p>
        </w:tc>
        <w:tc>
          <w:tcPr>
            <w:tcW w:w="1453" w:type="dxa"/>
            <w:tcBorders>
              <w:top w:val="nil"/>
              <w:left w:val="nil"/>
              <w:bottom w:val="nil"/>
              <w:right w:val="nil"/>
            </w:tcBorders>
          </w:tcPr>
          <w:p w:rsidR="00C556E5" w:rsidRDefault="00C556E5" w:rsidP="00642AD2">
            <w:pPr>
              <w:pStyle w:val="HSSBodytext"/>
            </w:pPr>
          </w:p>
        </w:tc>
        <w:tc>
          <w:tcPr>
            <w:tcW w:w="1353" w:type="dxa"/>
            <w:tcBorders>
              <w:top w:val="nil"/>
              <w:left w:val="nil"/>
              <w:bottom w:val="nil"/>
              <w:right w:val="single" w:sz="4" w:space="0" w:color="auto"/>
            </w:tcBorders>
          </w:tcPr>
          <w:p w:rsidR="00C556E5" w:rsidRDefault="00C556E5" w:rsidP="00642AD2">
            <w:pPr>
              <w:pStyle w:val="HSSBodytext"/>
            </w:pPr>
          </w:p>
        </w:tc>
      </w:tr>
      <w:tr w:rsidR="00C556E5" w:rsidTr="00DD0D89">
        <w:tc>
          <w:tcPr>
            <w:tcW w:w="1675" w:type="dxa"/>
            <w:tcBorders>
              <w:top w:val="nil"/>
              <w:left w:val="single" w:sz="4" w:space="0" w:color="auto"/>
              <w:bottom w:val="nil"/>
              <w:right w:val="nil"/>
            </w:tcBorders>
          </w:tcPr>
          <w:p w:rsidR="00C556E5" w:rsidRDefault="00C556E5" w:rsidP="008220AA">
            <w:pPr>
              <w:pStyle w:val="HSSBodytext"/>
            </w:pPr>
          </w:p>
        </w:tc>
        <w:tc>
          <w:tcPr>
            <w:tcW w:w="1422" w:type="dxa"/>
            <w:tcBorders>
              <w:top w:val="nil"/>
              <w:left w:val="nil"/>
              <w:bottom w:val="nil"/>
              <w:right w:val="nil"/>
            </w:tcBorders>
          </w:tcPr>
          <w:p w:rsidR="00C556E5" w:rsidRDefault="00C556E5" w:rsidP="00642AD2">
            <w:pPr>
              <w:pStyle w:val="HSSBodytext"/>
            </w:pPr>
          </w:p>
        </w:tc>
        <w:tc>
          <w:tcPr>
            <w:tcW w:w="1278" w:type="dxa"/>
            <w:tcBorders>
              <w:top w:val="nil"/>
              <w:left w:val="nil"/>
              <w:bottom w:val="nil"/>
              <w:right w:val="nil"/>
            </w:tcBorders>
          </w:tcPr>
          <w:p w:rsidR="00C556E5" w:rsidRDefault="00C556E5" w:rsidP="00642AD2">
            <w:pPr>
              <w:pStyle w:val="HSSBodytext"/>
            </w:pPr>
          </w:p>
        </w:tc>
        <w:tc>
          <w:tcPr>
            <w:tcW w:w="1353" w:type="dxa"/>
            <w:tcBorders>
              <w:top w:val="nil"/>
              <w:left w:val="nil"/>
              <w:bottom w:val="nil"/>
              <w:right w:val="nil"/>
            </w:tcBorders>
          </w:tcPr>
          <w:p w:rsidR="00C556E5" w:rsidRDefault="00C556E5" w:rsidP="00642AD2">
            <w:pPr>
              <w:pStyle w:val="HSSBodytext"/>
            </w:pPr>
          </w:p>
        </w:tc>
        <w:tc>
          <w:tcPr>
            <w:tcW w:w="1353" w:type="dxa"/>
            <w:tcBorders>
              <w:top w:val="nil"/>
              <w:left w:val="nil"/>
              <w:bottom w:val="nil"/>
              <w:right w:val="nil"/>
            </w:tcBorders>
          </w:tcPr>
          <w:p w:rsidR="00C556E5" w:rsidRDefault="00C556E5" w:rsidP="00642AD2">
            <w:pPr>
              <w:pStyle w:val="HSSBodytext"/>
            </w:pPr>
          </w:p>
        </w:tc>
        <w:tc>
          <w:tcPr>
            <w:tcW w:w="1353" w:type="dxa"/>
            <w:tcBorders>
              <w:top w:val="nil"/>
              <w:left w:val="nil"/>
              <w:bottom w:val="nil"/>
              <w:right w:val="nil"/>
            </w:tcBorders>
          </w:tcPr>
          <w:p w:rsidR="00C556E5" w:rsidRDefault="00C556E5" w:rsidP="00642AD2">
            <w:pPr>
              <w:pStyle w:val="HSSBodytext"/>
            </w:pPr>
          </w:p>
        </w:tc>
        <w:tc>
          <w:tcPr>
            <w:tcW w:w="1365" w:type="dxa"/>
            <w:tcBorders>
              <w:top w:val="nil"/>
              <w:left w:val="nil"/>
              <w:bottom w:val="nil"/>
              <w:right w:val="nil"/>
            </w:tcBorders>
          </w:tcPr>
          <w:p w:rsidR="00C556E5" w:rsidRDefault="00C556E5" w:rsidP="00642AD2">
            <w:pPr>
              <w:pStyle w:val="HSSBodytext"/>
            </w:pPr>
          </w:p>
        </w:tc>
        <w:tc>
          <w:tcPr>
            <w:tcW w:w="1569" w:type="dxa"/>
            <w:tcBorders>
              <w:top w:val="nil"/>
              <w:left w:val="nil"/>
              <w:bottom w:val="nil"/>
              <w:right w:val="nil"/>
            </w:tcBorders>
          </w:tcPr>
          <w:p w:rsidR="00C556E5" w:rsidRDefault="00C556E5" w:rsidP="00642AD2">
            <w:pPr>
              <w:pStyle w:val="HSSBodytext"/>
            </w:pPr>
          </w:p>
        </w:tc>
        <w:tc>
          <w:tcPr>
            <w:tcW w:w="1453" w:type="dxa"/>
            <w:tcBorders>
              <w:top w:val="nil"/>
              <w:left w:val="nil"/>
              <w:bottom w:val="nil"/>
              <w:right w:val="nil"/>
            </w:tcBorders>
          </w:tcPr>
          <w:p w:rsidR="00C556E5" w:rsidRDefault="00C556E5" w:rsidP="00642AD2">
            <w:pPr>
              <w:pStyle w:val="HSSBodytext"/>
            </w:pPr>
          </w:p>
        </w:tc>
        <w:tc>
          <w:tcPr>
            <w:tcW w:w="1353" w:type="dxa"/>
            <w:tcBorders>
              <w:top w:val="nil"/>
              <w:left w:val="nil"/>
              <w:bottom w:val="nil"/>
              <w:right w:val="single" w:sz="4" w:space="0" w:color="auto"/>
            </w:tcBorders>
          </w:tcPr>
          <w:p w:rsidR="00C556E5" w:rsidRDefault="00C556E5" w:rsidP="00642AD2">
            <w:pPr>
              <w:pStyle w:val="HSSBodytext"/>
            </w:pPr>
          </w:p>
        </w:tc>
      </w:tr>
      <w:tr w:rsidR="00C556E5" w:rsidTr="00DD0D89">
        <w:tc>
          <w:tcPr>
            <w:tcW w:w="1675" w:type="dxa"/>
            <w:tcBorders>
              <w:top w:val="nil"/>
              <w:left w:val="single" w:sz="4" w:space="0" w:color="auto"/>
              <w:bottom w:val="nil"/>
              <w:right w:val="nil"/>
            </w:tcBorders>
          </w:tcPr>
          <w:p w:rsidR="00C556E5" w:rsidRDefault="00C556E5" w:rsidP="008220AA">
            <w:pPr>
              <w:pStyle w:val="HSSBodytext"/>
            </w:pPr>
          </w:p>
        </w:tc>
        <w:tc>
          <w:tcPr>
            <w:tcW w:w="1422" w:type="dxa"/>
            <w:tcBorders>
              <w:top w:val="nil"/>
              <w:left w:val="nil"/>
              <w:bottom w:val="nil"/>
              <w:right w:val="nil"/>
            </w:tcBorders>
          </w:tcPr>
          <w:p w:rsidR="00C556E5" w:rsidRDefault="00C556E5" w:rsidP="00642AD2">
            <w:pPr>
              <w:pStyle w:val="HSSBodytext"/>
            </w:pPr>
          </w:p>
        </w:tc>
        <w:tc>
          <w:tcPr>
            <w:tcW w:w="1278" w:type="dxa"/>
            <w:tcBorders>
              <w:top w:val="nil"/>
              <w:left w:val="nil"/>
              <w:bottom w:val="nil"/>
              <w:right w:val="nil"/>
            </w:tcBorders>
          </w:tcPr>
          <w:p w:rsidR="00C556E5" w:rsidRDefault="00C556E5" w:rsidP="00642AD2">
            <w:pPr>
              <w:pStyle w:val="HSSBodytext"/>
            </w:pPr>
          </w:p>
        </w:tc>
        <w:tc>
          <w:tcPr>
            <w:tcW w:w="1353" w:type="dxa"/>
            <w:tcBorders>
              <w:top w:val="nil"/>
              <w:left w:val="nil"/>
              <w:bottom w:val="nil"/>
              <w:right w:val="nil"/>
            </w:tcBorders>
          </w:tcPr>
          <w:p w:rsidR="00C556E5" w:rsidRDefault="00C556E5" w:rsidP="00642AD2">
            <w:pPr>
              <w:pStyle w:val="HSSBodytext"/>
            </w:pPr>
          </w:p>
        </w:tc>
        <w:tc>
          <w:tcPr>
            <w:tcW w:w="1353" w:type="dxa"/>
            <w:tcBorders>
              <w:top w:val="nil"/>
              <w:left w:val="nil"/>
              <w:bottom w:val="nil"/>
              <w:right w:val="nil"/>
            </w:tcBorders>
          </w:tcPr>
          <w:p w:rsidR="00C556E5" w:rsidRDefault="00C556E5" w:rsidP="00642AD2">
            <w:pPr>
              <w:pStyle w:val="HSSBodytext"/>
            </w:pPr>
          </w:p>
        </w:tc>
        <w:tc>
          <w:tcPr>
            <w:tcW w:w="1353" w:type="dxa"/>
            <w:tcBorders>
              <w:top w:val="nil"/>
              <w:left w:val="nil"/>
              <w:bottom w:val="nil"/>
              <w:right w:val="nil"/>
            </w:tcBorders>
          </w:tcPr>
          <w:p w:rsidR="00C556E5" w:rsidRDefault="00C556E5" w:rsidP="00642AD2">
            <w:pPr>
              <w:pStyle w:val="HSSBodytext"/>
            </w:pPr>
          </w:p>
        </w:tc>
        <w:tc>
          <w:tcPr>
            <w:tcW w:w="1365" w:type="dxa"/>
            <w:tcBorders>
              <w:top w:val="nil"/>
              <w:left w:val="nil"/>
              <w:bottom w:val="nil"/>
              <w:right w:val="nil"/>
            </w:tcBorders>
          </w:tcPr>
          <w:p w:rsidR="00C556E5" w:rsidRDefault="00C556E5" w:rsidP="00642AD2">
            <w:pPr>
              <w:pStyle w:val="HSSBodytext"/>
            </w:pPr>
          </w:p>
        </w:tc>
        <w:tc>
          <w:tcPr>
            <w:tcW w:w="1569" w:type="dxa"/>
            <w:tcBorders>
              <w:top w:val="nil"/>
              <w:left w:val="nil"/>
              <w:bottom w:val="nil"/>
              <w:right w:val="nil"/>
            </w:tcBorders>
          </w:tcPr>
          <w:p w:rsidR="00C556E5" w:rsidRDefault="00C556E5" w:rsidP="00642AD2">
            <w:pPr>
              <w:pStyle w:val="HSSBodytext"/>
            </w:pPr>
          </w:p>
        </w:tc>
        <w:tc>
          <w:tcPr>
            <w:tcW w:w="1453" w:type="dxa"/>
            <w:tcBorders>
              <w:top w:val="nil"/>
              <w:left w:val="nil"/>
              <w:bottom w:val="nil"/>
              <w:right w:val="nil"/>
            </w:tcBorders>
          </w:tcPr>
          <w:p w:rsidR="00C556E5" w:rsidRDefault="00C556E5" w:rsidP="00642AD2">
            <w:pPr>
              <w:pStyle w:val="HSSBodytext"/>
            </w:pPr>
          </w:p>
        </w:tc>
        <w:tc>
          <w:tcPr>
            <w:tcW w:w="1353" w:type="dxa"/>
            <w:tcBorders>
              <w:top w:val="nil"/>
              <w:left w:val="nil"/>
              <w:bottom w:val="nil"/>
              <w:right w:val="single" w:sz="4" w:space="0" w:color="auto"/>
            </w:tcBorders>
          </w:tcPr>
          <w:p w:rsidR="00C556E5" w:rsidRDefault="00C556E5" w:rsidP="00642AD2">
            <w:pPr>
              <w:pStyle w:val="HSSBodytext"/>
            </w:pPr>
          </w:p>
        </w:tc>
      </w:tr>
      <w:tr w:rsidR="00C556E5" w:rsidTr="00DD0D89">
        <w:tc>
          <w:tcPr>
            <w:tcW w:w="1675" w:type="dxa"/>
            <w:tcBorders>
              <w:top w:val="nil"/>
              <w:left w:val="single" w:sz="4" w:space="0" w:color="auto"/>
              <w:bottom w:val="nil"/>
              <w:right w:val="nil"/>
            </w:tcBorders>
          </w:tcPr>
          <w:p w:rsidR="00C556E5" w:rsidRDefault="00C556E5" w:rsidP="008220AA">
            <w:pPr>
              <w:pStyle w:val="HSSBodytext"/>
            </w:pPr>
          </w:p>
        </w:tc>
        <w:tc>
          <w:tcPr>
            <w:tcW w:w="1422" w:type="dxa"/>
            <w:tcBorders>
              <w:top w:val="nil"/>
              <w:left w:val="nil"/>
              <w:bottom w:val="nil"/>
              <w:right w:val="nil"/>
            </w:tcBorders>
          </w:tcPr>
          <w:p w:rsidR="00C556E5" w:rsidRDefault="00C556E5" w:rsidP="00642AD2">
            <w:pPr>
              <w:pStyle w:val="HSSBodytext"/>
            </w:pPr>
          </w:p>
        </w:tc>
        <w:tc>
          <w:tcPr>
            <w:tcW w:w="1278" w:type="dxa"/>
            <w:tcBorders>
              <w:top w:val="nil"/>
              <w:left w:val="nil"/>
              <w:bottom w:val="nil"/>
              <w:right w:val="nil"/>
            </w:tcBorders>
          </w:tcPr>
          <w:p w:rsidR="00C556E5" w:rsidRDefault="00C556E5" w:rsidP="00642AD2">
            <w:pPr>
              <w:pStyle w:val="HSSBodytext"/>
            </w:pPr>
          </w:p>
        </w:tc>
        <w:tc>
          <w:tcPr>
            <w:tcW w:w="1353" w:type="dxa"/>
            <w:tcBorders>
              <w:top w:val="nil"/>
              <w:left w:val="nil"/>
              <w:bottom w:val="nil"/>
              <w:right w:val="nil"/>
            </w:tcBorders>
          </w:tcPr>
          <w:p w:rsidR="00C556E5" w:rsidRDefault="00C556E5" w:rsidP="00642AD2">
            <w:pPr>
              <w:pStyle w:val="HSSBodytext"/>
            </w:pPr>
          </w:p>
        </w:tc>
        <w:tc>
          <w:tcPr>
            <w:tcW w:w="1353" w:type="dxa"/>
            <w:tcBorders>
              <w:top w:val="nil"/>
              <w:left w:val="nil"/>
              <w:bottom w:val="nil"/>
              <w:right w:val="nil"/>
            </w:tcBorders>
          </w:tcPr>
          <w:p w:rsidR="00C556E5" w:rsidRDefault="00C556E5" w:rsidP="00642AD2">
            <w:pPr>
              <w:pStyle w:val="HSSBodytext"/>
            </w:pPr>
          </w:p>
        </w:tc>
        <w:tc>
          <w:tcPr>
            <w:tcW w:w="1353" w:type="dxa"/>
            <w:tcBorders>
              <w:top w:val="nil"/>
              <w:left w:val="nil"/>
              <w:bottom w:val="nil"/>
              <w:right w:val="nil"/>
            </w:tcBorders>
          </w:tcPr>
          <w:p w:rsidR="00C556E5" w:rsidRDefault="00C556E5" w:rsidP="00642AD2">
            <w:pPr>
              <w:pStyle w:val="HSSBodytext"/>
            </w:pPr>
          </w:p>
        </w:tc>
        <w:tc>
          <w:tcPr>
            <w:tcW w:w="1365" w:type="dxa"/>
            <w:tcBorders>
              <w:top w:val="nil"/>
              <w:left w:val="nil"/>
              <w:bottom w:val="nil"/>
              <w:right w:val="nil"/>
            </w:tcBorders>
          </w:tcPr>
          <w:p w:rsidR="00C556E5" w:rsidRDefault="00C556E5" w:rsidP="00642AD2">
            <w:pPr>
              <w:pStyle w:val="HSSBodytext"/>
            </w:pPr>
          </w:p>
        </w:tc>
        <w:tc>
          <w:tcPr>
            <w:tcW w:w="1569" w:type="dxa"/>
            <w:tcBorders>
              <w:top w:val="nil"/>
              <w:left w:val="nil"/>
              <w:bottom w:val="nil"/>
              <w:right w:val="nil"/>
            </w:tcBorders>
          </w:tcPr>
          <w:p w:rsidR="00C556E5" w:rsidRDefault="00C556E5" w:rsidP="00642AD2">
            <w:pPr>
              <w:pStyle w:val="HSSBodytext"/>
            </w:pPr>
          </w:p>
        </w:tc>
        <w:tc>
          <w:tcPr>
            <w:tcW w:w="1453" w:type="dxa"/>
            <w:tcBorders>
              <w:top w:val="nil"/>
              <w:left w:val="nil"/>
              <w:bottom w:val="nil"/>
              <w:right w:val="nil"/>
            </w:tcBorders>
          </w:tcPr>
          <w:p w:rsidR="00C556E5" w:rsidRDefault="00C556E5" w:rsidP="00642AD2">
            <w:pPr>
              <w:pStyle w:val="HSSBodytext"/>
            </w:pPr>
          </w:p>
        </w:tc>
        <w:tc>
          <w:tcPr>
            <w:tcW w:w="1353" w:type="dxa"/>
            <w:tcBorders>
              <w:top w:val="nil"/>
              <w:left w:val="nil"/>
              <w:bottom w:val="nil"/>
              <w:right w:val="single" w:sz="4" w:space="0" w:color="auto"/>
            </w:tcBorders>
          </w:tcPr>
          <w:p w:rsidR="00C556E5" w:rsidRDefault="00C556E5" w:rsidP="00642AD2">
            <w:pPr>
              <w:pStyle w:val="HSSBodytext"/>
            </w:pPr>
          </w:p>
        </w:tc>
      </w:tr>
      <w:tr w:rsidR="002B5ADD" w:rsidTr="00DD0D89">
        <w:tc>
          <w:tcPr>
            <w:tcW w:w="1675" w:type="dxa"/>
            <w:tcBorders>
              <w:top w:val="nil"/>
              <w:left w:val="single" w:sz="4" w:space="0" w:color="auto"/>
              <w:bottom w:val="single" w:sz="4" w:space="0" w:color="auto"/>
              <w:right w:val="nil"/>
            </w:tcBorders>
          </w:tcPr>
          <w:p w:rsidR="002B5ADD" w:rsidRDefault="002B5ADD" w:rsidP="008220AA">
            <w:pPr>
              <w:pStyle w:val="HSSBodytext"/>
            </w:pPr>
            <w:r>
              <w:t xml:space="preserve">Total quantity of substances (defined by physical property)  </w:t>
            </w:r>
          </w:p>
        </w:tc>
        <w:tc>
          <w:tcPr>
            <w:tcW w:w="1422" w:type="dxa"/>
            <w:tcBorders>
              <w:top w:val="nil"/>
              <w:left w:val="nil"/>
              <w:bottom w:val="single" w:sz="4" w:space="0" w:color="auto"/>
              <w:right w:val="nil"/>
            </w:tcBorders>
          </w:tcPr>
          <w:p w:rsidR="002B5ADD" w:rsidRDefault="002B5ADD" w:rsidP="00642AD2">
            <w:pPr>
              <w:pStyle w:val="HSSBodytext"/>
            </w:pPr>
          </w:p>
        </w:tc>
        <w:tc>
          <w:tcPr>
            <w:tcW w:w="1278" w:type="dxa"/>
            <w:tcBorders>
              <w:top w:val="nil"/>
              <w:left w:val="nil"/>
              <w:bottom w:val="single" w:sz="4" w:space="0" w:color="auto"/>
              <w:right w:val="nil"/>
            </w:tcBorders>
          </w:tcPr>
          <w:p w:rsidR="002B5ADD" w:rsidRDefault="002B5ADD" w:rsidP="00642AD2">
            <w:pPr>
              <w:pStyle w:val="HSSBodytext"/>
            </w:pPr>
          </w:p>
        </w:tc>
        <w:tc>
          <w:tcPr>
            <w:tcW w:w="1353" w:type="dxa"/>
            <w:tcBorders>
              <w:top w:val="nil"/>
              <w:left w:val="nil"/>
              <w:bottom w:val="single" w:sz="4" w:space="0" w:color="auto"/>
              <w:right w:val="nil"/>
            </w:tcBorders>
          </w:tcPr>
          <w:p w:rsidR="002B5ADD" w:rsidRDefault="002B5ADD" w:rsidP="00642AD2">
            <w:pPr>
              <w:pStyle w:val="HSSBodytext"/>
            </w:pPr>
          </w:p>
        </w:tc>
        <w:tc>
          <w:tcPr>
            <w:tcW w:w="1353" w:type="dxa"/>
            <w:tcBorders>
              <w:top w:val="nil"/>
              <w:left w:val="nil"/>
              <w:bottom w:val="single" w:sz="4" w:space="0" w:color="auto"/>
              <w:right w:val="nil"/>
            </w:tcBorders>
          </w:tcPr>
          <w:p w:rsidR="002B5ADD" w:rsidRDefault="002B5ADD" w:rsidP="00642AD2">
            <w:pPr>
              <w:pStyle w:val="HSSBodytext"/>
            </w:pPr>
          </w:p>
        </w:tc>
        <w:tc>
          <w:tcPr>
            <w:tcW w:w="1353" w:type="dxa"/>
            <w:tcBorders>
              <w:top w:val="nil"/>
              <w:left w:val="nil"/>
              <w:bottom w:val="single" w:sz="4" w:space="0" w:color="auto"/>
              <w:right w:val="nil"/>
            </w:tcBorders>
          </w:tcPr>
          <w:p w:rsidR="002B5ADD" w:rsidRDefault="002B5ADD" w:rsidP="00642AD2">
            <w:pPr>
              <w:pStyle w:val="HSSBodytext"/>
            </w:pPr>
          </w:p>
        </w:tc>
        <w:tc>
          <w:tcPr>
            <w:tcW w:w="1365" w:type="dxa"/>
            <w:tcBorders>
              <w:top w:val="nil"/>
              <w:left w:val="nil"/>
              <w:bottom w:val="single" w:sz="4" w:space="0" w:color="auto"/>
              <w:right w:val="nil"/>
            </w:tcBorders>
          </w:tcPr>
          <w:p w:rsidR="002B5ADD" w:rsidRDefault="002B5ADD" w:rsidP="00642AD2">
            <w:pPr>
              <w:pStyle w:val="HSSBodytext"/>
            </w:pPr>
          </w:p>
        </w:tc>
        <w:tc>
          <w:tcPr>
            <w:tcW w:w="1569" w:type="dxa"/>
            <w:tcBorders>
              <w:top w:val="nil"/>
              <w:left w:val="nil"/>
              <w:bottom w:val="single" w:sz="4" w:space="0" w:color="auto"/>
              <w:right w:val="nil"/>
            </w:tcBorders>
          </w:tcPr>
          <w:p w:rsidR="002B5ADD" w:rsidRDefault="002B5ADD" w:rsidP="00642AD2">
            <w:pPr>
              <w:pStyle w:val="HSSBodytext"/>
            </w:pPr>
          </w:p>
        </w:tc>
        <w:tc>
          <w:tcPr>
            <w:tcW w:w="1453" w:type="dxa"/>
            <w:tcBorders>
              <w:top w:val="nil"/>
              <w:left w:val="nil"/>
              <w:bottom w:val="single" w:sz="4" w:space="0" w:color="auto"/>
              <w:right w:val="nil"/>
            </w:tcBorders>
          </w:tcPr>
          <w:p w:rsidR="002B5ADD" w:rsidRDefault="002B5ADD" w:rsidP="00642AD2">
            <w:pPr>
              <w:pStyle w:val="HSSBodytext"/>
            </w:pPr>
          </w:p>
        </w:tc>
        <w:tc>
          <w:tcPr>
            <w:tcW w:w="1353" w:type="dxa"/>
            <w:tcBorders>
              <w:top w:val="nil"/>
              <w:left w:val="nil"/>
              <w:bottom w:val="single" w:sz="4" w:space="0" w:color="auto"/>
              <w:right w:val="single" w:sz="4" w:space="0" w:color="auto"/>
            </w:tcBorders>
          </w:tcPr>
          <w:p w:rsidR="002B5ADD" w:rsidRDefault="002B5ADD" w:rsidP="00642AD2">
            <w:pPr>
              <w:pStyle w:val="HSSBodytext"/>
            </w:pPr>
          </w:p>
        </w:tc>
        <w:bookmarkStart w:id="0" w:name="_GoBack"/>
        <w:bookmarkEnd w:id="0"/>
      </w:tr>
    </w:tbl>
    <w:p w:rsidR="00730DEE" w:rsidRPr="00C556E5" w:rsidRDefault="00730DEE" w:rsidP="001063F0">
      <w:pPr>
        <w:rPr>
          <w:sz w:val="16"/>
          <w:szCs w:val="16"/>
        </w:rPr>
      </w:pPr>
      <w:r w:rsidRPr="008C26A3">
        <w:rPr>
          <w:color w:val="FF0000"/>
          <w:sz w:val="16"/>
          <w:szCs w:val="16"/>
        </w:rPr>
        <w:lastRenderedPageBreak/>
        <w:t>*</w:t>
      </w:r>
      <w:r w:rsidRPr="00C556E5">
        <w:rPr>
          <w:sz w:val="16"/>
          <w:szCs w:val="16"/>
        </w:rPr>
        <w:tab/>
        <w:t>Cat 1 Flammable liquid, Flash point &lt;23</w:t>
      </w:r>
      <w:r w:rsidRPr="00C556E5">
        <w:rPr>
          <w:sz w:val="16"/>
          <w:szCs w:val="16"/>
          <w:vertAlign w:val="superscript"/>
        </w:rPr>
        <w:t>o</w:t>
      </w:r>
      <w:r w:rsidRPr="00C556E5">
        <w:rPr>
          <w:sz w:val="16"/>
          <w:szCs w:val="16"/>
        </w:rPr>
        <w:t>C, Boiling point ≤ 35</w:t>
      </w:r>
      <w:r w:rsidRPr="00C556E5">
        <w:rPr>
          <w:sz w:val="16"/>
          <w:szCs w:val="16"/>
          <w:vertAlign w:val="superscript"/>
        </w:rPr>
        <w:t>o</w:t>
      </w:r>
      <w:r w:rsidRPr="00C556E5">
        <w:rPr>
          <w:sz w:val="16"/>
          <w:szCs w:val="16"/>
        </w:rPr>
        <w:t>C</w:t>
      </w:r>
      <w:r w:rsidR="008C26A3">
        <w:rPr>
          <w:sz w:val="16"/>
          <w:szCs w:val="16"/>
        </w:rPr>
        <w:t xml:space="preserve"> </w:t>
      </w:r>
      <w:r w:rsidR="008C26A3">
        <w:rPr>
          <w:sz w:val="16"/>
          <w:szCs w:val="16"/>
        </w:rPr>
        <w:tab/>
      </w:r>
      <w:r w:rsidR="008C26A3">
        <w:rPr>
          <w:sz w:val="16"/>
          <w:szCs w:val="16"/>
        </w:rPr>
        <w:tab/>
      </w:r>
      <w:r w:rsidR="008C26A3" w:rsidRPr="00C556E5">
        <w:rPr>
          <w:sz w:val="16"/>
          <w:szCs w:val="16"/>
        </w:rPr>
        <w:t>*Ignition in air ≤ 13% v/v or flammable range with air of ≥ 12% points</w:t>
      </w:r>
    </w:p>
    <w:p w:rsidR="00730DEE" w:rsidRPr="00C556E5" w:rsidRDefault="00730DEE" w:rsidP="001063F0">
      <w:pPr>
        <w:rPr>
          <w:sz w:val="16"/>
          <w:szCs w:val="16"/>
        </w:rPr>
      </w:pPr>
      <w:r w:rsidRPr="008C26A3">
        <w:rPr>
          <w:color w:val="FF0000"/>
          <w:sz w:val="16"/>
          <w:szCs w:val="16"/>
        </w:rPr>
        <w:t>**</w:t>
      </w:r>
      <w:r w:rsidRPr="00C556E5">
        <w:rPr>
          <w:sz w:val="16"/>
          <w:szCs w:val="16"/>
        </w:rPr>
        <w:tab/>
        <w:t>Cat 2 Flammable liquid, Flash point &lt;23</w:t>
      </w:r>
      <w:r w:rsidRPr="00C556E5">
        <w:rPr>
          <w:sz w:val="16"/>
          <w:szCs w:val="16"/>
          <w:vertAlign w:val="superscript"/>
        </w:rPr>
        <w:t>o</w:t>
      </w:r>
      <w:r w:rsidRPr="00C556E5">
        <w:rPr>
          <w:sz w:val="16"/>
          <w:szCs w:val="16"/>
        </w:rPr>
        <w:t>C, Boiling point &gt; 35</w:t>
      </w:r>
      <w:r w:rsidRPr="00C556E5">
        <w:rPr>
          <w:sz w:val="16"/>
          <w:szCs w:val="16"/>
          <w:vertAlign w:val="superscript"/>
        </w:rPr>
        <w:t>o</w:t>
      </w:r>
      <w:r w:rsidRPr="00C556E5">
        <w:rPr>
          <w:sz w:val="16"/>
          <w:szCs w:val="16"/>
        </w:rPr>
        <w:t>C</w:t>
      </w:r>
      <w:r w:rsidR="008C26A3">
        <w:rPr>
          <w:sz w:val="16"/>
          <w:szCs w:val="16"/>
        </w:rPr>
        <w:tab/>
      </w:r>
      <w:r w:rsidR="008C26A3">
        <w:rPr>
          <w:sz w:val="16"/>
          <w:szCs w:val="16"/>
        </w:rPr>
        <w:tab/>
      </w:r>
      <w:r w:rsidR="008C26A3" w:rsidRPr="00C556E5">
        <w:rPr>
          <w:sz w:val="16"/>
          <w:szCs w:val="16"/>
        </w:rPr>
        <w:t xml:space="preserve">** </w:t>
      </w:r>
      <w:proofErr w:type="gramStart"/>
      <w:r w:rsidR="008C26A3" w:rsidRPr="00C556E5">
        <w:rPr>
          <w:sz w:val="16"/>
          <w:szCs w:val="16"/>
        </w:rPr>
        <w:t>Has</w:t>
      </w:r>
      <w:proofErr w:type="gramEnd"/>
      <w:r w:rsidR="008C26A3" w:rsidRPr="00C556E5">
        <w:rPr>
          <w:sz w:val="16"/>
          <w:szCs w:val="16"/>
        </w:rPr>
        <w:t xml:space="preserve"> a flammable range when mixed with air</w:t>
      </w:r>
    </w:p>
    <w:p w:rsidR="00BC0F42" w:rsidRPr="00C556E5" w:rsidRDefault="00730DEE" w:rsidP="00BC0F42">
      <w:pPr>
        <w:rPr>
          <w:sz w:val="16"/>
          <w:szCs w:val="16"/>
        </w:rPr>
      </w:pPr>
      <w:r w:rsidRPr="008C26A3">
        <w:rPr>
          <w:color w:val="FF0000"/>
          <w:sz w:val="16"/>
          <w:szCs w:val="16"/>
        </w:rPr>
        <w:t>***</w:t>
      </w:r>
      <w:r w:rsidRPr="00C556E5">
        <w:rPr>
          <w:sz w:val="16"/>
          <w:szCs w:val="16"/>
        </w:rPr>
        <w:tab/>
        <w:t>Cat 3 Flammable liquid, Flash point ≥</w:t>
      </w:r>
      <w:r w:rsidR="00BC0F42" w:rsidRPr="00C556E5">
        <w:rPr>
          <w:sz w:val="16"/>
          <w:szCs w:val="16"/>
        </w:rPr>
        <w:t>23</w:t>
      </w:r>
      <w:r w:rsidR="00BC0F42" w:rsidRPr="00C556E5">
        <w:rPr>
          <w:sz w:val="16"/>
          <w:szCs w:val="16"/>
          <w:vertAlign w:val="superscript"/>
        </w:rPr>
        <w:t>o</w:t>
      </w:r>
      <w:r w:rsidR="00BC0F42" w:rsidRPr="00C556E5">
        <w:rPr>
          <w:sz w:val="16"/>
          <w:szCs w:val="16"/>
        </w:rPr>
        <w:t xml:space="preserve">C, </w:t>
      </w:r>
      <w:proofErr w:type="gramStart"/>
      <w:r w:rsidR="00BC0F42" w:rsidRPr="00C556E5">
        <w:rPr>
          <w:sz w:val="16"/>
          <w:szCs w:val="16"/>
        </w:rPr>
        <w:t>Boiling</w:t>
      </w:r>
      <w:proofErr w:type="gramEnd"/>
      <w:r w:rsidR="00BC0F42" w:rsidRPr="00C556E5">
        <w:rPr>
          <w:sz w:val="16"/>
          <w:szCs w:val="16"/>
        </w:rPr>
        <w:t xml:space="preserve"> point ≤ 60</w:t>
      </w:r>
      <w:r w:rsidR="00BC0F42" w:rsidRPr="00C556E5">
        <w:rPr>
          <w:sz w:val="16"/>
          <w:szCs w:val="16"/>
          <w:vertAlign w:val="superscript"/>
        </w:rPr>
        <w:t>o</w:t>
      </w:r>
      <w:r w:rsidR="00BC0F42" w:rsidRPr="00C556E5">
        <w:rPr>
          <w:sz w:val="16"/>
          <w:szCs w:val="16"/>
        </w:rPr>
        <w:t>C</w:t>
      </w:r>
      <w:r w:rsidR="001063F0" w:rsidRPr="00C556E5">
        <w:rPr>
          <w:sz w:val="16"/>
          <w:szCs w:val="16"/>
        </w:rPr>
        <w:tab/>
      </w:r>
    </w:p>
    <w:p w:rsidR="00973555" w:rsidRDefault="00973555" w:rsidP="00973555">
      <w:r>
        <w:tab/>
      </w:r>
    </w:p>
    <w:p w:rsidR="001D07D3" w:rsidRDefault="0046706F" w:rsidP="00973555">
      <w:r>
        <w:rPr>
          <w:noProof/>
          <w:lang w:eastAsia="en-GB"/>
        </w:rPr>
        <mc:AlternateContent>
          <mc:Choice Requires="wps">
            <w:drawing>
              <wp:anchor distT="0" distB="0" distL="114300" distR="114300" simplePos="0" relativeHeight="251672576" behindDoc="0" locked="0" layoutInCell="1" allowOverlap="1" wp14:anchorId="77B69E6A">
                <wp:simplePos x="0" y="0"/>
                <wp:positionH relativeFrom="column">
                  <wp:align>center</wp:align>
                </wp:positionH>
                <wp:positionV relativeFrom="paragraph">
                  <wp:posOffset>113030</wp:posOffset>
                </wp:positionV>
                <wp:extent cx="8869680" cy="1108075"/>
                <wp:effectExtent l="9525" t="8255" r="7620" b="76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9680" cy="1108075"/>
                        </a:xfrm>
                        <a:prstGeom prst="rect">
                          <a:avLst/>
                        </a:prstGeom>
                        <a:solidFill>
                          <a:srgbClr val="FFFFFF"/>
                        </a:solidFill>
                        <a:ln w="9525">
                          <a:solidFill>
                            <a:srgbClr val="000000"/>
                          </a:solidFill>
                          <a:miter lim="800000"/>
                          <a:headEnd/>
                          <a:tailEnd/>
                        </a:ln>
                      </wps:spPr>
                      <wps:txbx>
                        <w:txbxContent>
                          <w:p w:rsidR="00CA2D80" w:rsidRDefault="00CA2D80">
                            <w:r>
                              <w:t xml:space="preserve">As a result of </w:t>
                            </w:r>
                            <w:r w:rsidR="00AC1FBC">
                              <w:t xml:space="preserve">either the amounts of substances identified above, or </w:t>
                            </w:r>
                            <w:r>
                              <w:t>a work process or chemical reaction, including by-products and or combustion, is there likely to be a release of vapour/gas/dust/decomposition products that could produce an explosive atmosphere?</w:t>
                            </w:r>
                          </w:p>
                          <w:p w:rsidR="00CA2D80" w:rsidRDefault="00C30D45">
                            <w:r>
                              <w:t xml:space="preserve">(See following page for </w:t>
                            </w:r>
                            <w:r w:rsidR="00DE402A">
                              <w:t>some worked examples using three commonly used substances</w:t>
                            </w:r>
                            <w:r>
                              <w:t>)</w:t>
                            </w:r>
                          </w:p>
                          <w:p w:rsidR="00CA2D80" w:rsidRPr="00CA2D80" w:rsidRDefault="00CA2D80">
                            <w:r>
                              <w:t>Yes</w:t>
                            </w:r>
                            <w:r>
                              <w:tab/>
                            </w:r>
                            <w:r w:rsidRPr="00CA2D80">
                              <w:rPr>
                                <w:sz w:val="36"/>
                                <w:szCs w:val="36"/>
                              </w:rPr>
                              <w:t>□</w:t>
                            </w:r>
                            <w:r>
                              <w:rPr>
                                <w:sz w:val="36"/>
                                <w:szCs w:val="36"/>
                              </w:rPr>
                              <w:tab/>
                            </w:r>
                            <w:r>
                              <w:rPr>
                                <w:sz w:val="36"/>
                                <w:szCs w:val="36"/>
                              </w:rPr>
                              <w:tab/>
                            </w:r>
                            <w:r>
                              <w:rPr>
                                <w:sz w:val="36"/>
                                <w:szCs w:val="36"/>
                              </w:rPr>
                              <w:tab/>
                            </w:r>
                            <w:r w:rsidRPr="00CA2D80">
                              <w:t>T</w:t>
                            </w:r>
                            <w:r>
                              <w:t>otal Quantity</w:t>
                            </w:r>
                            <w:r>
                              <w:tab/>
                            </w:r>
                            <w:r>
                              <w:tab/>
                            </w:r>
                            <w:r>
                              <w:tab/>
                            </w:r>
                            <w:r>
                              <w:tab/>
                            </w:r>
                            <w:r>
                              <w:tab/>
                            </w:r>
                            <w:r>
                              <w:tab/>
                            </w:r>
                            <w:r>
                              <w:tab/>
                            </w:r>
                            <w:r>
                              <w:tab/>
                              <w:t>No</w:t>
                            </w:r>
                            <w:r>
                              <w:tab/>
                            </w:r>
                            <w:r w:rsidRPr="00CA2D80">
                              <w:rPr>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8.9pt;width:698.4pt;height:87.25pt;z-index:2516725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">
                <v:textbox>
                  <w:txbxContent>
                    <w:p w:rsidR="00CA2D80" w:rsidRDefault="00CA2D80">
                      <w:r>
                        <w:t xml:space="preserve">As a result of </w:t>
                      </w:r>
                      <w:r w:rsidR="00AC1FBC">
                        <w:t xml:space="preserve">either the amounts of substances identified above, or </w:t>
                      </w:r>
                      <w:r>
                        <w:t>a work process or chemical reaction, including by-products and or combustion, is there likely to be a release of vapour/gas/dust/decomposition products that could produce an explosive atmosphere?</w:t>
                      </w:r>
                    </w:p>
                    <w:p w:rsidR="00CA2D80" w:rsidRDefault="00C30D45">
                      <w:r>
                        <w:t xml:space="preserve">(See following page for </w:t>
                      </w:r>
                      <w:r w:rsidR="00DE402A">
                        <w:t>some worked examples using three commonly used substances</w:t>
                      </w:r>
                      <w:r>
                        <w:t>)</w:t>
                      </w:r>
                    </w:p>
                    <w:p w:rsidR="00CA2D80" w:rsidRPr="00CA2D80" w:rsidRDefault="00CA2D80">
                      <w:r>
                        <w:t>Yes</w:t>
                      </w:r>
                      <w:r>
                        <w:tab/>
                      </w:r>
                      <w:r w:rsidRPr="00CA2D80">
                        <w:rPr>
                          <w:sz w:val="36"/>
                          <w:szCs w:val="36"/>
                        </w:rPr>
                        <w:t>□</w:t>
                      </w:r>
                      <w:r>
                        <w:rPr>
                          <w:sz w:val="36"/>
                          <w:szCs w:val="36"/>
                        </w:rPr>
                        <w:tab/>
                      </w:r>
                      <w:r>
                        <w:rPr>
                          <w:sz w:val="36"/>
                          <w:szCs w:val="36"/>
                        </w:rPr>
                        <w:tab/>
                      </w:r>
                      <w:r>
                        <w:rPr>
                          <w:sz w:val="36"/>
                          <w:szCs w:val="36"/>
                        </w:rPr>
                        <w:tab/>
                      </w:r>
                      <w:r w:rsidRPr="00CA2D80">
                        <w:t>T</w:t>
                      </w:r>
                      <w:r>
                        <w:t>otal Quantity</w:t>
                      </w:r>
                      <w:r>
                        <w:tab/>
                      </w:r>
                      <w:r>
                        <w:tab/>
                      </w:r>
                      <w:r>
                        <w:tab/>
                      </w:r>
                      <w:r>
                        <w:tab/>
                      </w:r>
                      <w:r>
                        <w:tab/>
                      </w:r>
                      <w:r>
                        <w:tab/>
                      </w:r>
                      <w:r>
                        <w:tab/>
                      </w:r>
                      <w:r>
                        <w:tab/>
                        <w:t>No</w:t>
                      </w:r>
                      <w:r>
                        <w:tab/>
                      </w:r>
                      <w:r w:rsidRPr="00CA2D80">
                        <w:rPr>
                          <w:sz w:val="36"/>
                          <w:szCs w:val="36"/>
                        </w:rPr>
                        <w:t>□</w:t>
                      </w:r>
                    </w:p>
                  </w:txbxContent>
                </v:textbox>
              </v:shape>
            </w:pict>
          </mc:Fallback>
        </mc:AlternateContent>
      </w:r>
    </w:p>
    <w:p w:rsidR="001D07D3" w:rsidRDefault="001D07D3" w:rsidP="00973555"/>
    <w:p w:rsidR="001D07D3" w:rsidRDefault="001D07D3" w:rsidP="00973555"/>
    <w:p w:rsidR="001D07D3" w:rsidRDefault="001D07D3" w:rsidP="00973555"/>
    <w:p w:rsidR="001D07D3" w:rsidRDefault="001D07D3" w:rsidP="00973555"/>
    <w:p w:rsidR="001D07D3" w:rsidRDefault="001D07D3" w:rsidP="00973555"/>
    <w:p w:rsidR="001D07D3" w:rsidRDefault="001D07D3" w:rsidP="00973555"/>
    <w:p w:rsidR="001D07D3" w:rsidRDefault="001D07D3" w:rsidP="00973555"/>
    <w:p w:rsidR="001D07D3" w:rsidRDefault="00CA2D80" w:rsidP="00973555">
      <w:r>
        <w:t>If the answers to all the questions are negati</w:t>
      </w:r>
      <w:r w:rsidR="00EC6AEB">
        <w:t>ve, the assessment is complete and should be signed in the box below.</w:t>
      </w:r>
    </w:p>
    <w:p w:rsidR="00EC6AEB" w:rsidRDefault="00EC6AEB" w:rsidP="00973555">
      <w:r>
        <w:t>If any answers are positive, please go to Part 2.</w:t>
      </w:r>
    </w:p>
    <w:p w:rsidR="001D07D3" w:rsidRDefault="001D07D3" w:rsidP="00973555"/>
    <w:p w:rsidR="001D07D3" w:rsidRDefault="0046706F" w:rsidP="00973555">
      <w:r>
        <w:rPr>
          <w:noProof/>
          <w:lang w:eastAsia="en-GB"/>
        </w:rPr>
        <mc:AlternateContent>
          <mc:Choice Requires="wps">
            <w:drawing>
              <wp:anchor distT="0" distB="0" distL="114300" distR="114300" simplePos="0" relativeHeight="251674624" behindDoc="0" locked="0" layoutInCell="1" allowOverlap="1" wp14:anchorId="5E05944B">
                <wp:simplePos x="0" y="0"/>
                <wp:positionH relativeFrom="column">
                  <wp:align>center</wp:align>
                </wp:positionH>
                <wp:positionV relativeFrom="paragraph">
                  <wp:posOffset>0</wp:posOffset>
                </wp:positionV>
                <wp:extent cx="8830945" cy="1767840"/>
                <wp:effectExtent l="9525" t="9525" r="8255" b="1143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0945" cy="1767840"/>
                        </a:xfrm>
                        <a:prstGeom prst="rect">
                          <a:avLst/>
                        </a:prstGeom>
                        <a:solidFill>
                          <a:srgbClr val="FFFFFF"/>
                        </a:solidFill>
                        <a:ln w="9525">
                          <a:solidFill>
                            <a:srgbClr val="000000"/>
                          </a:solidFill>
                          <a:miter lim="800000"/>
                          <a:headEnd/>
                          <a:tailEnd/>
                        </a:ln>
                      </wps:spPr>
                      <wps:txbx>
                        <w:txbxContent>
                          <w:p w:rsidR="00EC6AEB" w:rsidRDefault="00EC6AEB">
                            <w:r>
                              <w:t>Name of Assessor:</w:t>
                            </w:r>
                            <w:r>
                              <w:tab/>
                            </w:r>
                            <w:r>
                              <w:tab/>
                            </w:r>
                            <w:r>
                              <w:tab/>
                            </w:r>
                            <w:r>
                              <w:tab/>
                            </w:r>
                            <w:r>
                              <w:tab/>
                            </w:r>
                            <w:r>
                              <w:tab/>
                            </w:r>
                            <w:r>
                              <w:tab/>
                            </w:r>
                            <w:r>
                              <w:tab/>
                              <w:t>Name of Manager/PI</w:t>
                            </w:r>
                          </w:p>
                          <w:p w:rsidR="00EC6AEB" w:rsidRDefault="00EC6AEB"/>
                          <w:p w:rsidR="00EC6AEB" w:rsidRDefault="00EC6AEB">
                            <w:r>
                              <w:t>Signature of Assessor:</w:t>
                            </w:r>
                            <w:r>
                              <w:tab/>
                            </w:r>
                            <w:r>
                              <w:tab/>
                            </w:r>
                            <w:r>
                              <w:tab/>
                            </w:r>
                            <w:r>
                              <w:tab/>
                            </w:r>
                            <w:r>
                              <w:tab/>
                            </w:r>
                            <w:r>
                              <w:tab/>
                            </w:r>
                            <w:r>
                              <w:tab/>
                              <w:t>Signature of Manager/PI</w:t>
                            </w:r>
                          </w:p>
                          <w:p w:rsidR="00EC6AEB" w:rsidRDefault="00EC6AEB"/>
                          <w:p w:rsidR="00EC6AEB" w:rsidRDefault="00EC6AEB">
                            <w:r>
                              <w:t>Date:</w:t>
                            </w:r>
                            <w:r>
                              <w:tab/>
                            </w:r>
                            <w:r>
                              <w:tab/>
                            </w:r>
                            <w:r>
                              <w:tab/>
                            </w:r>
                            <w:r>
                              <w:tab/>
                            </w:r>
                            <w:r>
                              <w:tab/>
                            </w:r>
                            <w:r>
                              <w:tab/>
                            </w:r>
                            <w:r>
                              <w:tab/>
                            </w:r>
                            <w:r>
                              <w:tab/>
                            </w:r>
                            <w:r>
                              <w:tab/>
                            </w:r>
                            <w:r>
                              <w:tab/>
                              <w:t>Date:</w:t>
                            </w:r>
                          </w:p>
                          <w:p w:rsidR="00EC6AEB" w:rsidRDefault="00EC6AEB"/>
                          <w:p w:rsidR="00EC6AEB" w:rsidRDefault="00EC6AEB">
                            <w:proofErr w:type="spellStart"/>
                            <w:r>
                              <w:t>Sugested</w:t>
                            </w:r>
                            <w:proofErr w:type="spellEnd"/>
                            <w:r>
                              <w:t xml:space="preserve"> Review Date:</w:t>
                            </w:r>
                          </w:p>
                          <w:p w:rsidR="00EC6AEB" w:rsidRDefault="00EC6AEB">
                            <w:r>
                              <w:t>(Eg annually or upon change in respect of new activities, import of new chemicals etc.)</w:t>
                            </w:r>
                          </w:p>
                          <w:p w:rsidR="00EC6AEB" w:rsidRDefault="00EC6AE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2" o:spid="_x0000_s1027" type="#_x0000_t202" style="position:absolute;margin-left:0;margin-top:0;width:695.35pt;height:139.2pt;z-index:25167462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">
                <v:textbox style="mso-fit-shape-to-text:t">
                  <w:txbxContent>
                    <w:p w:rsidR="00EC6AEB" w:rsidRDefault="00EC6AEB">
                      <w:r>
                        <w:t>Name of Assessor:</w:t>
                      </w:r>
                      <w:r>
                        <w:tab/>
                      </w:r>
                      <w:r>
                        <w:tab/>
                      </w:r>
                      <w:r>
                        <w:tab/>
                      </w:r>
                      <w:r>
                        <w:tab/>
                      </w:r>
                      <w:r>
                        <w:tab/>
                      </w:r>
                      <w:r>
                        <w:tab/>
                      </w:r>
                      <w:r>
                        <w:tab/>
                      </w:r>
                      <w:r>
                        <w:tab/>
                        <w:t>Name of Manager/PI</w:t>
                      </w:r>
                    </w:p>
                    <w:p w:rsidR="00EC6AEB" w:rsidRDefault="00EC6AEB"/>
                    <w:p w:rsidR="00EC6AEB" w:rsidRDefault="00EC6AEB">
                      <w:r>
                        <w:t>Signature of Assessor:</w:t>
                      </w:r>
                      <w:r>
                        <w:tab/>
                      </w:r>
                      <w:r>
                        <w:tab/>
                      </w:r>
                      <w:r>
                        <w:tab/>
                      </w:r>
                      <w:r>
                        <w:tab/>
                      </w:r>
                      <w:r>
                        <w:tab/>
                      </w:r>
                      <w:r>
                        <w:tab/>
                      </w:r>
                      <w:r>
                        <w:tab/>
                        <w:t>Signature of Manager/PI</w:t>
                      </w:r>
                    </w:p>
                    <w:p w:rsidR="00EC6AEB" w:rsidRDefault="00EC6AEB"/>
                    <w:p w:rsidR="00EC6AEB" w:rsidRDefault="00EC6AEB">
                      <w:r>
                        <w:t>Date:</w:t>
                      </w:r>
                      <w:r>
                        <w:tab/>
                      </w:r>
                      <w:r>
                        <w:tab/>
                      </w:r>
                      <w:r>
                        <w:tab/>
                      </w:r>
                      <w:r>
                        <w:tab/>
                      </w:r>
                      <w:r>
                        <w:tab/>
                      </w:r>
                      <w:r>
                        <w:tab/>
                      </w:r>
                      <w:r>
                        <w:tab/>
                      </w:r>
                      <w:r>
                        <w:tab/>
                      </w:r>
                      <w:r>
                        <w:tab/>
                      </w:r>
                      <w:r>
                        <w:tab/>
                        <w:t>Date:</w:t>
                      </w:r>
                    </w:p>
                    <w:p w:rsidR="00EC6AEB" w:rsidRDefault="00EC6AEB"/>
                    <w:p w:rsidR="00EC6AEB" w:rsidRDefault="00EC6AEB">
                      <w:r>
                        <w:t>Sugested Review Date:</w:t>
                      </w:r>
                    </w:p>
                    <w:p w:rsidR="00EC6AEB" w:rsidRDefault="00EC6AEB">
                      <w:r>
                        <w:t>(Eg annually or upon change in respect of new activities, import of new chemicals etc.)</w:t>
                      </w:r>
                    </w:p>
                    <w:p w:rsidR="00EC6AEB" w:rsidRDefault="00EC6AEB"/>
                  </w:txbxContent>
                </v:textbox>
              </v:shape>
            </w:pict>
          </mc:Fallback>
        </mc:AlternateContent>
      </w:r>
    </w:p>
    <w:p w:rsidR="001D07D3" w:rsidRDefault="001D07D3" w:rsidP="00973555"/>
    <w:p w:rsidR="001D07D3" w:rsidRDefault="001D07D3" w:rsidP="00973555"/>
    <w:p w:rsidR="001D07D3" w:rsidRDefault="001D07D3" w:rsidP="00973555"/>
    <w:p w:rsidR="001D07D3" w:rsidRDefault="001D07D3" w:rsidP="00973555"/>
    <w:p w:rsidR="001D07D3" w:rsidRDefault="001D07D3" w:rsidP="00973555"/>
    <w:p w:rsidR="001D07D3" w:rsidRDefault="001D07D3" w:rsidP="00973555"/>
    <w:p w:rsidR="001D07D3" w:rsidRDefault="001D07D3" w:rsidP="00973555"/>
    <w:p w:rsidR="001D07D3" w:rsidRDefault="001D07D3" w:rsidP="00973555"/>
    <w:p w:rsidR="001D07D3" w:rsidRDefault="001D07D3" w:rsidP="00973555"/>
    <w:p w:rsidR="001D07D3" w:rsidRDefault="001D07D3" w:rsidP="00973555"/>
    <w:p w:rsidR="00145B15" w:rsidRDefault="00145B15" w:rsidP="00973555">
      <w:pPr>
        <w:sectPr w:rsidR="00145B15" w:rsidSect="00FA5EAA">
          <w:footerReference w:type="default" r:id="rId23"/>
          <w:pgSz w:w="16838" w:h="11906" w:orient="landscape" w:code="9"/>
          <w:pgMar w:top="1440" w:right="1440" w:bottom="1440" w:left="1440" w:header="709" w:footer="709" w:gutter="0"/>
          <w:cols w:space="708"/>
          <w:docGrid w:linePitch="360"/>
        </w:sectPr>
      </w:pPr>
    </w:p>
    <w:p w:rsidR="001063F0" w:rsidRDefault="001063F0" w:rsidP="001063F0"/>
    <w:p w:rsidR="00F1447A" w:rsidRDefault="00C34207" w:rsidP="001063F0">
      <w:pPr>
        <w:rPr>
          <w:b/>
          <w:sz w:val="24"/>
          <w:szCs w:val="24"/>
        </w:rPr>
      </w:pPr>
      <w:proofErr w:type="gramStart"/>
      <w:r>
        <w:rPr>
          <w:b/>
          <w:sz w:val="24"/>
          <w:szCs w:val="24"/>
        </w:rPr>
        <w:t>Example calculations for two</w:t>
      </w:r>
      <w:r w:rsidR="00F1447A">
        <w:rPr>
          <w:b/>
          <w:sz w:val="24"/>
          <w:szCs w:val="24"/>
        </w:rPr>
        <w:t xml:space="preserve"> commonly used solvents.</w:t>
      </w:r>
      <w:proofErr w:type="gramEnd"/>
    </w:p>
    <w:p w:rsidR="00F1447A" w:rsidRDefault="00F1447A" w:rsidP="00F1447A">
      <w:pPr>
        <w:pStyle w:val="HSSNumberedlist"/>
      </w:pPr>
      <w:r>
        <w:t xml:space="preserve">Information for the calculations is available by consulting either the safety data sheet for the solvent concerned or making use of the </w:t>
      </w:r>
      <w:proofErr w:type="spellStart"/>
      <w:r>
        <w:t>Drager</w:t>
      </w:r>
      <w:proofErr w:type="spellEnd"/>
      <w:r>
        <w:t xml:space="preserve"> Gas List (see refer</w:t>
      </w:r>
      <w:r w:rsidR="002A17AE">
        <w:t>e</w:t>
      </w:r>
      <w:r>
        <w:t>nces).</w:t>
      </w:r>
    </w:p>
    <w:p w:rsidR="00F1447A" w:rsidRDefault="00C34207" w:rsidP="00F1447A">
      <w:pPr>
        <w:pStyle w:val="HSSNumberedlist"/>
      </w:pPr>
      <w:r>
        <w:t>The two</w:t>
      </w:r>
      <w:r w:rsidR="00F1447A">
        <w:t xml:space="preserve"> examples are:</w:t>
      </w:r>
    </w:p>
    <w:p w:rsidR="00F1447A" w:rsidRDefault="00F1447A" w:rsidP="00F1447A">
      <w:pPr>
        <w:pStyle w:val="HSSNumberedlist"/>
        <w:numPr>
          <w:ilvl w:val="0"/>
          <w:numId w:val="21"/>
        </w:numPr>
      </w:pPr>
      <w:r>
        <w:t>Acetone  spill in a room of dimensions 5 x 7 x 3 metres</w:t>
      </w:r>
    </w:p>
    <w:p w:rsidR="00F1447A" w:rsidRDefault="00F1447A" w:rsidP="00F1447A">
      <w:pPr>
        <w:pStyle w:val="HSSNumberedlist"/>
        <w:numPr>
          <w:ilvl w:val="0"/>
          <w:numId w:val="0"/>
        </w:numPr>
        <w:ind w:left="1074"/>
      </w:pPr>
      <w:r>
        <w:t>Acetone has a molecular weight of 58.1g/</w:t>
      </w:r>
      <w:proofErr w:type="spellStart"/>
      <w:r>
        <w:t>mol</w:t>
      </w:r>
      <w:proofErr w:type="spellEnd"/>
      <w:r>
        <w:t>; liquid density 0.79</w:t>
      </w:r>
      <w:r w:rsidR="002A17AE">
        <w:t>g/ml</w:t>
      </w:r>
      <w:r>
        <w:t>, Lower Explosive Limit</w:t>
      </w:r>
      <w:r w:rsidR="002A17AE">
        <w:t xml:space="preserve"> (LEL) </w:t>
      </w:r>
      <w:r>
        <w:t>2.5</w:t>
      </w:r>
      <w:r w:rsidR="00A44A62">
        <w:t>%v/v</w:t>
      </w:r>
    </w:p>
    <w:p w:rsidR="008773A7" w:rsidRPr="0027560E" w:rsidRDefault="008773A7" w:rsidP="008773A7">
      <w:r w:rsidRPr="0027560E">
        <w:t xml:space="preserve">Acetone </w:t>
      </w:r>
      <w:proofErr w:type="spellStart"/>
      <w:r w:rsidRPr="0027560E">
        <w:t>Mol</w:t>
      </w:r>
      <w:proofErr w:type="spellEnd"/>
      <w:r w:rsidRPr="0027560E">
        <w:t xml:space="preserve"> </w:t>
      </w:r>
      <w:proofErr w:type="spellStart"/>
      <w:r w:rsidRPr="0027560E">
        <w:t>wt</w:t>
      </w:r>
      <w:proofErr w:type="spellEnd"/>
      <w:r w:rsidRPr="0027560E">
        <w:t xml:space="preserve"> is 58.1</w:t>
      </w:r>
    </w:p>
    <w:p w:rsidR="008773A7" w:rsidRPr="0027560E" w:rsidRDefault="008773A7" w:rsidP="008773A7"/>
    <w:p w:rsidR="008773A7" w:rsidRPr="0027560E" w:rsidRDefault="008773A7" w:rsidP="008773A7">
      <w:r w:rsidRPr="0027560E">
        <w:t>Vapour density is thus 58.1/ 28.96 (a constant</w:t>
      </w:r>
      <w:r w:rsidR="002A4AE9" w:rsidRPr="0027560E">
        <w:t>) =</w:t>
      </w:r>
      <w:r w:rsidRPr="0027560E">
        <w:t xml:space="preserve"> 2.01g/</w:t>
      </w:r>
      <w:proofErr w:type="spellStart"/>
      <w:r w:rsidRPr="0027560E">
        <w:t>mol</w:t>
      </w:r>
      <w:proofErr w:type="spellEnd"/>
      <w:r w:rsidRPr="0027560E">
        <w:t xml:space="preserve"> (approximately), which indicates that the vapour is twice as heavy as air and will sink (and may collect in drainage traps)</w:t>
      </w:r>
      <w:r w:rsidR="0067361F" w:rsidRPr="0027560E">
        <w:t>, which is</w:t>
      </w:r>
      <w:r w:rsidR="0027560E" w:rsidRPr="0027560E">
        <w:t xml:space="preserve"> itself </w:t>
      </w:r>
      <w:r w:rsidR="0067361F" w:rsidRPr="0027560E">
        <w:t>useful information</w:t>
      </w:r>
    </w:p>
    <w:p w:rsidR="008773A7" w:rsidRPr="0027560E" w:rsidRDefault="008773A7" w:rsidP="008773A7"/>
    <w:p w:rsidR="008773A7" w:rsidRPr="0027560E" w:rsidRDefault="008773A7" w:rsidP="008773A7">
      <w:r w:rsidRPr="0027560E">
        <w:t xml:space="preserve">Relative density of vapour (at 20 </w:t>
      </w:r>
      <w:proofErr w:type="spellStart"/>
      <w:r w:rsidRPr="0027560E">
        <w:t>deg</w:t>
      </w:r>
      <w:proofErr w:type="spellEnd"/>
      <w:r w:rsidRPr="0027560E">
        <w:t xml:space="preserve"> C and 1013hPa) can be calculated by multiplying the molecular weight with a constant</w:t>
      </w:r>
      <w:r w:rsidR="002A4AE9" w:rsidRPr="0027560E">
        <w:t>, 0.04179</w:t>
      </w:r>
      <w:r w:rsidRPr="0027560E">
        <w:t xml:space="preserve"> = 2.42</w:t>
      </w:r>
    </w:p>
    <w:p w:rsidR="008773A7" w:rsidRPr="0027560E" w:rsidRDefault="008773A7" w:rsidP="008773A7"/>
    <w:p w:rsidR="008773A7" w:rsidRPr="0027560E" w:rsidRDefault="008773A7" w:rsidP="008773A7">
      <w:r w:rsidRPr="0027560E">
        <w:t>Using the LEL (Lower Explosive Limit) in %V/V, it can be converted to g/m3 by multiplication by the mole</w:t>
      </w:r>
      <w:r w:rsidR="002C48F7">
        <w:t>cular weight and dividing by another</w:t>
      </w:r>
      <w:r w:rsidRPr="0027560E">
        <w:t xml:space="preserve"> constant 2.4, so for acetone this would be 58.1 x 2.5/2.4 = 60.52g/m3.</w:t>
      </w:r>
    </w:p>
    <w:p w:rsidR="008773A7" w:rsidRPr="0027560E" w:rsidRDefault="008773A7" w:rsidP="008773A7"/>
    <w:p w:rsidR="008773A7" w:rsidRPr="0027560E" w:rsidRDefault="008773A7" w:rsidP="008773A7">
      <w:r w:rsidRPr="0027560E">
        <w:t>The above can be put to some practical use in understanding zoning, as it can be used to calculate maximum spill volumes  permissible to remain below the LEL in a room of given size, though one would have to assume total dispersion.</w:t>
      </w:r>
    </w:p>
    <w:p w:rsidR="008773A7" w:rsidRPr="0027560E" w:rsidRDefault="008773A7" w:rsidP="008773A7"/>
    <w:p w:rsidR="008773A7" w:rsidRPr="0027560E" w:rsidRDefault="008773A7" w:rsidP="008773A7">
      <w:r w:rsidRPr="0027560E">
        <w:t xml:space="preserve">For a room with dimensions 5 x 7 x 3 = 105m3 </w:t>
      </w:r>
      <w:proofErr w:type="gramStart"/>
      <w:r w:rsidRPr="0027560E">
        <w:t>volume</w:t>
      </w:r>
      <w:proofErr w:type="gramEnd"/>
      <w:r w:rsidRPr="0027560E">
        <w:t xml:space="preserve">, </w:t>
      </w:r>
    </w:p>
    <w:p w:rsidR="008773A7" w:rsidRPr="0027560E" w:rsidRDefault="008773A7" w:rsidP="008773A7">
      <w:r w:rsidRPr="0027560E">
        <w:t>105</w:t>
      </w:r>
      <w:r w:rsidR="005E38A0" w:rsidRPr="0027560E">
        <w:t xml:space="preserve"> x 60.52/0.785 (density</w:t>
      </w:r>
      <w:r w:rsidRPr="0027560E">
        <w:t>) = 8095ml, = 8.095L</w:t>
      </w:r>
    </w:p>
    <w:p w:rsidR="0027560E" w:rsidRDefault="0027560E" w:rsidP="008773A7">
      <w:pPr>
        <w:rPr>
          <w:color w:val="1F497D"/>
        </w:rPr>
      </w:pPr>
    </w:p>
    <w:p w:rsidR="008773A7" w:rsidRPr="0027560E" w:rsidRDefault="008773A7" w:rsidP="008773A7">
      <w:pPr>
        <w:pStyle w:val="ListParagraph"/>
        <w:numPr>
          <w:ilvl w:val="0"/>
          <w:numId w:val="21"/>
        </w:numPr>
      </w:pPr>
      <w:r w:rsidRPr="0027560E">
        <w:t>Ethanol spill in a room dimension 3 x 3 x 3m</w:t>
      </w:r>
    </w:p>
    <w:p w:rsidR="008773A7" w:rsidRPr="0027560E" w:rsidRDefault="008773A7" w:rsidP="0027560E">
      <w:r w:rsidRPr="0027560E">
        <w:t xml:space="preserve">Ethanol has a molecular </w:t>
      </w:r>
      <w:r w:rsidR="002A4AE9" w:rsidRPr="0027560E">
        <w:t xml:space="preserve">weight </w:t>
      </w:r>
      <w:proofErr w:type="gramStart"/>
      <w:r w:rsidR="002A4AE9" w:rsidRPr="0027560E">
        <w:t>of</w:t>
      </w:r>
      <w:r w:rsidRPr="0027560E">
        <w:t xml:space="preserve">  46.1g</w:t>
      </w:r>
      <w:proofErr w:type="gramEnd"/>
      <w:r w:rsidRPr="0027560E">
        <w:t>/</w:t>
      </w:r>
      <w:proofErr w:type="spellStart"/>
      <w:r w:rsidRPr="0027560E">
        <w:t>mol</w:t>
      </w:r>
      <w:proofErr w:type="spellEnd"/>
      <w:r w:rsidRPr="0027560E">
        <w:t>; liquid density 0.79g/ml, LEL 3.1%v/v</w:t>
      </w:r>
    </w:p>
    <w:p w:rsidR="008773A7" w:rsidRPr="0027560E" w:rsidRDefault="008773A7" w:rsidP="0027560E">
      <w:r w:rsidRPr="0027560E">
        <w:t>Vapour density 46.1/28.96 = 1.59g/</w:t>
      </w:r>
      <w:proofErr w:type="spellStart"/>
      <w:r w:rsidRPr="0027560E">
        <w:t>mol</w:t>
      </w:r>
      <w:proofErr w:type="spellEnd"/>
    </w:p>
    <w:p w:rsidR="008773A7" w:rsidRPr="0027560E" w:rsidRDefault="008773A7" w:rsidP="0027560E">
      <w:r w:rsidRPr="0027560E">
        <w:t>Relative density of vapour 46.1/0.04179 = 1.93</w:t>
      </w:r>
    </w:p>
    <w:p w:rsidR="008773A7" w:rsidRPr="0027560E" w:rsidRDefault="008773A7" w:rsidP="0027560E"/>
    <w:p w:rsidR="008773A7" w:rsidRPr="0027560E" w:rsidRDefault="008773A7" w:rsidP="0027560E">
      <w:r w:rsidRPr="0027560E">
        <w:t>LEL conversion to g/m3 = 46.1 x 3.1/2.4 = 59.55g/m3</w:t>
      </w:r>
    </w:p>
    <w:p w:rsidR="008773A7" w:rsidRDefault="008773A7" w:rsidP="0027560E">
      <w:r w:rsidRPr="0027560E">
        <w:t xml:space="preserve">Maximum spill in room dimensions 3 x 3 x </w:t>
      </w:r>
      <w:r w:rsidR="002A4AE9" w:rsidRPr="0027560E">
        <w:t>3 is</w:t>
      </w:r>
      <w:r w:rsidRPr="0027560E">
        <w:t xml:space="preserve"> 27 x </w:t>
      </w:r>
      <w:r w:rsidR="004117FF" w:rsidRPr="0027560E">
        <w:t>59.55/0.79 = 2.035L</w:t>
      </w:r>
    </w:p>
    <w:p w:rsidR="0027560E" w:rsidRPr="0027560E" w:rsidRDefault="0027560E" w:rsidP="00C34207">
      <w:pPr>
        <w:pStyle w:val="ListParagraph"/>
        <w:ind w:left="1074"/>
      </w:pPr>
    </w:p>
    <w:p w:rsidR="00F1447A" w:rsidRPr="008773A7" w:rsidRDefault="00F1447A" w:rsidP="00C34207">
      <w:pPr>
        <w:pStyle w:val="ListParagraph"/>
        <w:spacing w:line="240" w:lineRule="auto"/>
        <w:ind w:left="1074"/>
        <w:rPr>
          <w:b/>
          <w:sz w:val="24"/>
          <w:szCs w:val="24"/>
        </w:rPr>
      </w:pPr>
      <w:r w:rsidRPr="008773A7">
        <w:rPr>
          <w:b/>
          <w:sz w:val="24"/>
          <w:szCs w:val="24"/>
        </w:rPr>
        <w:br w:type="page"/>
      </w:r>
    </w:p>
    <w:p w:rsidR="001063F0" w:rsidRDefault="001063F0" w:rsidP="001063F0">
      <w:pPr>
        <w:rPr>
          <w:b/>
          <w:sz w:val="24"/>
          <w:szCs w:val="24"/>
        </w:rPr>
      </w:pPr>
      <w:r>
        <w:rPr>
          <w:b/>
          <w:sz w:val="24"/>
          <w:szCs w:val="24"/>
        </w:rPr>
        <w:lastRenderedPageBreak/>
        <w:t>P</w:t>
      </w:r>
      <w:r w:rsidRPr="009D3ED0">
        <w:rPr>
          <w:b/>
          <w:sz w:val="24"/>
          <w:szCs w:val="24"/>
        </w:rPr>
        <w:t>art 2</w:t>
      </w:r>
    </w:p>
    <w:p w:rsidR="00627CA8" w:rsidRDefault="00627CA8" w:rsidP="001063F0">
      <w:pPr>
        <w:rPr>
          <w:b/>
          <w:sz w:val="24"/>
          <w:szCs w:val="24"/>
        </w:rPr>
      </w:pPr>
      <w:r>
        <w:rPr>
          <w:b/>
          <w:sz w:val="24"/>
          <w:szCs w:val="24"/>
        </w:rPr>
        <w:t>Points to Consider in a Risk Assessment</w:t>
      </w:r>
      <w:r w:rsidR="00C30D45">
        <w:rPr>
          <w:b/>
          <w:sz w:val="24"/>
          <w:szCs w:val="24"/>
        </w:rPr>
        <w:t xml:space="preserve"> when DSEAR Applies</w:t>
      </w:r>
    </w:p>
    <w:p w:rsidR="00145B15" w:rsidRDefault="00145B15" w:rsidP="001063F0">
      <w:pPr>
        <w:rPr>
          <w:b/>
          <w:sz w:val="24"/>
          <w:szCs w:val="24"/>
        </w:rPr>
      </w:pPr>
    </w:p>
    <w:p w:rsidR="00145B15" w:rsidRPr="00145B15" w:rsidRDefault="00C30D45" w:rsidP="00DE5D12">
      <w:pPr>
        <w:pStyle w:val="HSSNumberedlist"/>
      </w:pPr>
      <w:r>
        <w:t xml:space="preserve">If the conclusion from Part 1 is that DSEAR applies and a risk assessment is required, please: consult the Safety Service guidance </w:t>
      </w:r>
      <w:hyperlink r:id="rId24" w:history="1">
        <w:r w:rsidRPr="00C34698">
          <w:rPr>
            <w:rStyle w:val="Hyperlink"/>
          </w:rPr>
          <w:t>http://documents.manchester.ac.uk/display.aspx?DocID=12845</w:t>
        </w:r>
      </w:hyperlink>
      <w:r>
        <w:t xml:space="preserve">  </w:t>
      </w:r>
      <w:r w:rsidR="00DE5D12">
        <w:t>and carry out the risk assessment considering the points below. Please note that d</w:t>
      </w:r>
      <w:r w:rsidR="00145B15">
        <w:t>etails of the step</w:t>
      </w:r>
      <w:r w:rsidR="00ED729E">
        <w:t>s taken to comply with any of the</w:t>
      </w:r>
      <w:r>
        <w:t xml:space="preserve"> points</w:t>
      </w:r>
      <w:r w:rsidR="00DE5D12">
        <w:t xml:space="preserve"> shoul</w:t>
      </w:r>
      <w:r w:rsidR="00627CA8">
        <w:t xml:space="preserve">d be recorded in </w:t>
      </w:r>
      <w:r w:rsidR="00ED729E">
        <w:t xml:space="preserve">your risk assessment </w:t>
      </w:r>
      <w:r w:rsidR="00627CA8">
        <w:t xml:space="preserve">for it </w:t>
      </w:r>
      <w:r w:rsidR="00ED729E">
        <w:t>to be suitable and sufficient.</w:t>
      </w:r>
    </w:p>
    <w:p w:rsidR="001063F0" w:rsidRDefault="001063F0" w:rsidP="001063F0"/>
    <w:tbl>
      <w:tblPr>
        <w:tblStyle w:val="TableGrid"/>
        <w:tblW w:w="0" w:type="auto"/>
        <w:tblLayout w:type="fixed"/>
        <w:tblLook w:val="04A0" w:firstRow="1" w:lastRow="0" w:firstColumn="1" w:lastColumn="0" w:noHBand="0" w:noVBand="1"/>
      </w:tblPr>
      <w:tblGrid>
        <w:gridCol w:w="8613"/>
      </w:tblGrid>
      <w:tr w:rsidR="00145B15" w:rsidTr="00E71009">
        <w:tc>
          <w:tcPr>
            <w:tcW w:w="8613" w:type="dxa"/>
            <w:shd w:val="clear" w:color="auto" w:fill="D9D9D9" w:themeFill="background1" w:themeFillShade="D9"/>
          </w:tcPr>
          <w:p w:rsidR="00145B15" w:rsidRDefault="00145B15" w:rsidP="009D1514">
            <w:r>
              <w:t>Process/Activity</w:t>
            </w:r>
          </w:p>
        </w:tc>
      </w:tr>
      <w:tr w:rsidR="00145B15" w:rsidTr="00E71009">
        <w:tc>
          <w:tcPr>
            <w:tcW w:w="8613" w:type="dxa"/>
          </w:tcPr>
          <w:p w:rsidR="00145B15" w:rsidRDefault="00145B15" w:rsidP="009D1514">
            <w:r>
              <w:t>The quantity of the dangerous substance held/used has been reduced to a minimum</w:t>
            </w:r>
          </w:p>
        </w:tc>
      </w:tr>
      <w:tr w:rsidR="00145B15" w:rsidTr="00E71009">
        <w:tc>
          <w:tcPr>
            <w:tcW w:w="8613" w:type="dxa"/>
          </w:tcPr>
          <w:p w:rsidR="00145B15" w:rsidRDefault="00ED729E" w:rsidP="00ED729E">
            <w:r>
              <w:t>Measure</w:t>
            </w:r>
            <w:r w:rsidR="00145B15">
              <w:t xml:space="preserve">s have been taken to avoid, or minimise releases (intentional or unintentional). </w:t>
            </w:r>
          </w:p>
        </w:tc>
      </w:tr>
      <w:tr w:rsidR="00145B15" w:rsidTr="00E71009">
        <w:tc>
          <w:tcPr>
            <w:tcW w:w="8613" w:type="dxa"/>
          </w:tcPr>
          <w:p w:rsidR="00145B15" w:rsidRDefault="00ED729E" w:rsidP="00ED729E">
            <w:r>
              <w:t>Measure</w:t>
            </w:r>
            <w:r w:rsidR="00145B15">
              <w:t>s</w:t>
            </w:r>
            <w:r>
              <w:t xml:space="preserve"> have been taken to control any</w:t>
            </w:r>
            <w:r w:rsidR="00145B15">
              <w:t xml:space="preserve"> release</w:t>
            </w:r>
            <w:r>
              <w:t>s</w:t>
            </w:r>
            <w:r w:rsidR="00145B15">
              <w:t xml:space="preserve"> at source. </w:t>
            </w:r>
          </w:p>
        </w:tc>
      </w:tr>
      <w:tr w:rsidR="00145B15" w:rsidTr="00E71009">
        <w:tc>
          <w:tcPr>
            <w:tcW w:w="8613" w:type="dxa"/>
          </w:tcPr>
          <w:p w:rsidR="00145B15" w:rsidRDefault="00ED729E" w:rsidP="00ED729E">
            <w:r>
              <w:t>Measure</w:t>
            </w:r>
            <w:r w:rsidR="00145B15">
              <w:t xml:space="preserve">s have been taken to prevent the formation of an explosive atmosphere. </w:t>
            </w:r>
          </w:p>
        </w:tc>
      </w:tr>
      <w:tr w:rsidR="00145B15" w:rsidTr="00E71009">
        <w:tc>
          <w:tcPr>
            <w:tcW w:w="8613" w:type="dxa"/>
          </w:tcPr>
          <w:p w:rsidR="00145B15" w:rsidRDefault="00ED729E" w:rsidP="009D1514">
            <w:r>
              <w:t>Measure</w:t>
            </w:r>
            <w:r w:rsidR="00145B15">
              <w:t xml:space="preserve">s </w:t>
            </w:r>
            <w:r>
              <w:t xml:space="preserve">have </w:t>
            </w:r>
            <w:r w:rsidR="00145B15">
              <w:t>been taken to collect, contain and remove any releases to a</w:t>
            </w:r>
            <w:r>
              <w:t xml:space="preserve"> safe place (e.g. by extraction</w:t>
            </w:r>
            <w:r w:rsidR="00145B15">
              <w:t>)</w:t>
            </w:r>
          </w:p>
        </w:tc>
      </w:tr>
      <w:tr w:rsidR="00145B15" w:rsidTr="00E71009">
        <w:tc>
          <w:tcPr>
            <w:tcW w:w="8613" w:type="dxa"/>
          </w:tcPr>
          <w:p w:rsidR="00145B15" w:rsidRDefault="00ED729E" w:rsidP="009D1514">
            <w:r>
              <w:t>Measure</w:t>
            </w:r>
            <w:r w:rsidR="00145B15">
              <w:t>s</w:t>
            </w:r>
            <w:r>
              <w:t xml:space="preserve"> have</w:t>
            </w:r>
            <w:r w:rsidR="00145B15">
              <w:t xml:space="preserve"> been taken</w:t>
            </w:r>
            <w:r>
              <w:t xml:space="preserve"> to avoid adverse conditions (e</w:t>
            </w:r>
            <w:r w:rsidR="00145B15">
              <w:t>g. exceeding the limits of temperature or other control settings)</w:t>
            </w:r>
          </w:p>
        </w:tc>
      </w:tr>
      <w:tr w:rsidR="00145B15" w:rsidTr="00E71009">
        <w:tc>
          <w:tcPr>
            <w:tcW w:w="8613" w:type="dxa"/>
          </w:tcPr>
          <w:p w:rsidR="00145B15" w:rsidRDefault="00ED729E" w:rsidP="009D1514">
            <w:r>
              <w:t>I</w:t>
            </w:r>
            <w:r w:rsidR="00145B15">
              <w:t>ncompatible substances</w:t>
            </w:r>
            <w:r>
              <w:t xml:space="preserve"> are kept apart,</w:t>
            </w:r>
            <w:r w:rsidR="00145B15">
              <w:t xml:space="preserve"> so far as is reasonably practicable, in use (e.g. oxidisers and combustibles)</w:t>
            </w:r>
          </w:p>
        </w:tc>
      </w:tr>
      <w:tr w:rsidR="00145B15" w:rsidTr="00E71009">
        <w:tc>
          <w:tcPr>
            <w:tcW w:w="8613" w:type="dxa"/>
          </w:tcPr>
          <w:p w:rsidR="00145B15" w:rsidRDefault="00ED729E" w:rsidP="009D1514">
            <w:r>
              <w:t>The number of people (staff, students, contractors, visitors etc.)</w:t>
            </w:r>
            <w:r w:rsidR="00145B15">
              <w:t xml:space="preserve"> exposed to the dangerous substances or explosive atmosphere </w:t>
            </w:r>
            <w:r w:rsidR="007F3AAD">
              <w:t>has</w:t>
            </w:r>
            <w:r>
              <w:t xml:space="preserve"> </w:t>
            </w:r>
            <w:r w:rsidR="00145B15">
              <w:t>been reduced to the minimum</w:t>
            </w:r>
            <w:r w:rsidR="007F3AAD">
              <w:t>.</w:t>
            </w:r>
          </w:p>
        </w:tc>
      </w:tr>
      <w:tr w:rsidR="00145B15" w:rsidTr="00E71009">
        <w:tc>
          <w:tcPr>
            <w:tcW w:w="8613" w:type="dxa"/>
          </w:tcPr>
          <w:p w:rsidR="00145B15" w:rsidRDefault="00ED729E" w:rsidP="009D1514">
            <w:r>
              <w:t>P</w:t>
            </w:r>
            <w:r w:rsidR="00145B15">
              <w:t xml:space="preserve">lant </w:t>
            </w:r>
            <w:r>
              <w:t xml:space="preserve">has </w:t>
            </w:r>
            <w:r w:rsidR="00145B15">
              <w:t>been supplied that is explosion resistant</w:t>
            </w:r>
            <w:r>
              <w:t xml:space="preserve"> where required</w:t>
            </w:r>
          </w:p>
        </w:tc>
      </w:tr>
      <w:tr w:rsidR="004411EA" w:rsidTr="00E71009">
        <w:tc>
          <w:tcPr>
            <w:tcW w:w="8613" w:type="dxa"/>
          </w:tcPr>
          <w:p w:rsidR="004411EA" w:rsidRDefault="004411EA" w:rsidP="009D1514">
            <w:r>
              <w:t>Procedures are in place to exclude (or control) all sources of ignition including electrostatic discharges</w:t>
            </w:r>
          </w:p>
        </w:tc>
      </w:tr>
      <w:tr w:rsidR="00145B15" w:rsidTr="00E71009">
        <w:tc>
          <w:tcPr>
            <w:tcW w:w="8613" w:type="dxa"/>
          </w:tcPr>
          <w:p w:rsidR="00145B15" w:rsidRDefault="007F3AAD" w:rsidP="009D1514">
            <w:r>
              <w:t>E</w:t>
            </w:r>
            <w:r w:rsidR="00145B15">
              <w:t xml:space="preserve">xplosion suppression or </w:t>
            </w:r>
            <w:r>
              <w:t xml:space="preserve">pressure </w:t>
            </w:r>
            <w:r w:rsidR="00145B15">
              <w:t>relief</w:t>
            </w:r>
            <w:r>
              <w:t xml:space="preserve"> has been</w:t>
            </w:r>
            <w:r w:rsidR="00145B15">
              <w:t xml:space="preserve"> provided on equipment</w:t>
            </w:r>
            <w:r>
              <w:t xml:space="preserve"> where required.</w:t>
            </w:r>
          </w:p>
        </w:tc>
      </w:tr>
      <w:tr w:rsidR="00145B15" w:rsidTr="00E71009">
        <w:tc>
          <w:tcPr>
            <w:tcW w:w="8613" w:type="dxa"/>
          </w:tcPr>
          <w:p w:rsidR="00145B15" w:rsidRDefault="007F3AAD" w:rsidP="009D1514">
            <w:r>
              <w:t>A</w:t>
            </w:r>
            <w:r w:rsidR="00145B15">
              <w:t>dequate m</w:t>
            </w:r>
            <w:r>
              <w:t>easures</w:t>
            </w:r>
            <w:r w:rsidR="00621DEB">
              <w:t xml:space="preserve"> have</w:t>
            </w:r>
            <w:r>
              <w:t xml:space="preserve"> been taken to control or</w:t>
            </w:r>
            <w:r w:rsidR="00145B15">
              <w:t xml:space="preserve"> minimise the spread of fire or explosion</w:t>
            </w:r>
          </w:p>
        </w:tc>
      </w:tr>
      <w:tr w:rsidR="00145B15" w:rsidTr="00E71009">
        <w:tc>
          <w:tcPr>
            <w:tcW w:w="8613" w:type="dxa"/>
          </w:tcPr>
          <w:p w:rsidR="004411EA" w:rsidRDefault="007F3AAD" w:rsidP="007F3AAD">
            <w:r>
              <w:t>S</w:t>
            </w:r>
            <w:r w:rsidR="00145B15">
              <w:t>uitable Personal Protective Equipment (PPE)</w:t>
            </w:r>
            <w:r w:rsidR="00B86345">
              <w:t xml:space="preserve"> (specify what type and which items)</w:t>
            </w:r>
            <w:r>
              <w:t xml:space="preserve"> has been provided, and </w:t>
            </w:r>
            <w:r w:rsidR="004411EA">
              <w:t>user</w:t>
            </w:r>
            <w:r w:rsidR="00145B15">
              <w:t>s</w:t>
            </w:r>
            <w:r>
              <w:t xml:space="preserve"> have </w:t>
            </w:r>
            <w:r w:rsidR="00145B15">
              <w:t>been trained how to</w:t>
            </w:r>
            <w:r>
              <w:t xml:space="preserve"> </w:t>
            </w:r>
          </w:p>
          <w:p w:rsidR="00B25B05" w:rsidRDefault="007F3AAD" w:rsidP="007F3AAD">
            <w:pPr>
              <w:pStyle w:val="ListParagraph"/>
              <w:numPr>
                <w:ilvl w:val="0"/>
                <w:numId w:val="18"/>
              </w:numPr>
            </w:pPr>
            <w:r>
              <w:t>s</w:t>
            </w:r>
            <w:r w:rsidR="00B25B05">
              <w:t>tore</w:t>
            </w:r>
          </w:p>
          <w:p w:rsidR="00B25B05" w:rsidRDefault="00B25B05" w:rsidP="007F3AAD">
            <w:pPr>
              <w:pStyle w:val="ListParagraph"/>
              <w:numPr>
                <w:ilvl w:val="0"/>
                <w:numId w:val="18"/>
              </w:numPr>
            </w:pPr>
            <w:r>
              <w:t>use</w:t>
            </w:r>
          </w:p>
          <w:p w:rsidR="00B25B05" w:rsidRDefault="00B86345" w:rsidP="00B25B05">
            <w:pPr>
              <w:pStyle w:val="ListParagraph"/>
              <w:numPr>
                <w:ilvl w:val="0"/>
                <w:numId w:val="18"/>
              </w:numPr>
            </w:pPr>
            <w:r>
              <w:t>put on</w:t>
            </w:r>
            <w:r w:rsidR="005C02F2">
              <w:t xml:space="preserve"> and remove</w:t>
            </w:r>
            <w:r w:rsidR="00B25B05">
              <w:t xml:space="preserve"> </w:t>
            </w:r>
          </w:p>
          <w:p w:rsidR="00B25B05" w:rsidRDefault="005C02F2" w:rsidP="007F3AAD">
            <w:pPr>
              <w:pStyle w:val="ListParagraph"/>
              <w:numPr>
                <w:ilvl w:val="0"/>
                <w:numId w:val="18"/>
              </w:numPr>
            </w:pPr>
            <w:r>
              <w:t>clean</w:t>
            </w:r>
          </w:p>
          <w:p w:rsidR="00145B15" w:rsidRDefault="007F3AAD" w:rsidP="007F3AAD">
            <w:pPr>
              <w:pStyle w:val="ListParagraph"/>
              <w:numPr>
                <w:ilvl w:val="0"/>
                <w:numId w:val="18"/>
              </w:numPr>
            </w:pPr>
            <w:r>
              <w:t xml:space="preserve">dispose of </w:t>
            </w:r>
            <w:r w:rsidR="00145B15">
              <w:t>it correctly</w:t>
            </w:r>
          </w:p>
        </w:tc>
      </w:tr>
      <w:tr w:rsidR="00145B15" w:rsidTr="00E71009">
        <w:tc>
          <w:tcPr>
            <w:tcW w:w="8613" w:type="dxa"/>
            <w:shd w:val="clear" w:color="auto" w:fill="D9D9D9" w:themeFill="background1" w:themeFillShade="D9"/>
          </w:tcPr>
          <w:p w:rsidR="00145B15" w:rsidRDefault="00145B15" w:rsidP="009D1514">
            <w:r>
              <w:t>Workplace / Process and Management Systems</w:t>
            </w:r>
          </w:p>
          <w:p w:rsidR="00145B15" w:rsidRDefault="00145B15" w:rsidP="009D1514">
            <w:r>
              <w:t xml:space="preserve">Where appropriate to the nature of the </w:t>
            </w:r>
            <w:r w:rsidR="00A22576">
              <w:t>process or activity</w:t>
            </w:r>
          </w:p>
        </w:tc>
      </w:tr>
      <w:tr w:rsidR="00145B15" w:rsidTr="00E71009">
        <w:tc>
          <w:tcPr>
            <w:tcW w:w="8613" w:type="dxa"/>
          </w:tcPr>
          <w:p w:rsidR="00145B15" w:rsidRDefault="007F3AAD" w:rsidP="007F3AAD">
            <w:r>
              <w:t>T</w:t>
            </w:r>
            <w:r w:rsidR="00145B15">
              <w:t>he workplace</w:t>
            </w:r>
            <w:r>
              <w:t xml:space="preserve"> is </w:t>
            </w:r>
            <w:r w:rsidR="00145B15">
              <w:t xml:space="preserve">designed, constructed and maintained so as to provide adequate </w:t>
            </w:r>
            <w:r w:rsidR="00145B15">
              <w:lastRenderedPageBreak/>
              <w:t>fire-resistance and / or explosion relief</w:t>
            </w:r>
            <w:r>
              <w:t xml:space="preserve"> where required</w:t>
            </w:r>
          </w:p>
        </w:tc>
      </w:tr>
      <w:tr w:rsidR="005C02F2" w:rsidTr="00E71009">
        <w:tc>
          <w:tcPr>
            <w:tcW w:w="8613" w:type="dxa"/>
          </w:tcPr>
          <w:p w:rsidR="005C02F2" w:rsidRDefault="005C02F2" w:rsidP="007F3AAD">
            <w:r>
              <w:lastRenderedPageBreak/>
              <w:t>The workplace and storage areas are secured to prevent unauthorised access</w:t>
            </w:r>
          </w:p>
        </w:tc>
      </w:tr>
      <w:tr w:rsidR="00145B15" w:rsidTr="00E71009">
        <w:tc>
          <w:tcPr>
            <w:tcW w:w="8613" w:type="dxa"/>
          </w:tcPr>
          <w:p w:rsidR="00145B15" w:rsidRDefault="007F3AAD" w:rsidP="009D1514">
            <w:r>
              <w:t>E</w:t>
            </w:r>
            <w:r w:rsidR="00145B15">
              <w:t xml:space="preserve">very assembly, construction, installation, plant, rig, </w:t>
            </w:r>
            <w:r>
              <w:t xml:space="preserve">piece of </w:t>
            </w:r>
            <w:r w:rsidR="00145B15">
              <w:t>equipment, protection system etc.</w:t>
            </w:r>
            <w:r>
              <w:t xml:space="preserve"> is</w:t>
            </w:r>
            <w:r w:rsidR="00145B15">
              <w:t xml:space="preserve"> designed in such a manner as to minimise risk of fire and / or explosion</w:t>
            </w:r>
            <w:r>
              <w:t xml:space="preserve"> where required</w:t>
            </w:r>
          </w:p>
        </w:tc>
      </w:tr>
      <w:tr w:rsidR="00145B15" w:rsidTr="00E71009">
        <w:tc>
          <w:tcPr>
            <w:tcW w:w="8613" w:type="dxa"/>
          </w:tcPr>
          <w:p w:rsidR="00145B15" w:rsidRDefault="007F3AAD" w:rsidP="009D1514">
            <w:r>
              <w:t>E</w:t>
            </w:r>
            <w:r w:rsidR="00145B15">
              <w:t xml:space="preserve">very assembly, construction, installation, plant, rig, </w:t>
            </w:r>
            <w:r>
              <w:t xml:space="preserve">piece of </w:t>
            </w:r>
            <w:r w:rsidR="00145B15">
              <w:t xml:space="preserve">equipment, protection system etc. </w:t>
            </w:r>
            <w:r>
              <w:t xml:space="preserve">is </w:t>
            </w:r>
            <w:r w:rsidR="00145B15">
              <w:t>used in such a manner as to minimise risk of fire and / or explosion</w:t>
            </w:r>
          </w:p>
        </w:tc>
      </w:tr>
      <w:tr w:rsidR="00145B15" w:rsidTr="00E71009">
        <w:tc>
          <w:tcPr>
            <w:tcW w:w="8613" w:type="dxa"/>
          </w:tcPr>
          <w:p w:rsidR="00145B15" w:rsidRDefault="007F3AAD" w:rsidP="007F3AAD">
            <w:r>
              <w:t>Appropriate safe systems of work or safe operating procedures</w:t>
            </w:r>
            <w:r w:rsidR="00145B15">
              <w:t xml:space="preserve"> </w:t>
            </w:r>
            <w:r>
              <w:t xml:space="preserve">have </w:t>
            </w:r>
            <w:r w:rsidR="00145B15">
              <w:t>been developed and communicated to the workforce</w:t>
            </w:r>
          </w:p>
        </w:tc>
      </w:tr>
      <w:tr w:rsidR="00145B15" w:rsidTr="00E71009">
        <w:tc>
          <w:tcPr>
            <w:tcW w:w="8613" w:type="dxa"/>
          </w:tcPr>
          <w:p w:rsidR="00145B15" w:rsidRDefault="008461BA" w:rsidP="009D1514">
            <w:r>
              <w:t>If</w:t>
            </w:r>
            <w:r w:rsidR="00145B15">
              <w:t xml:space="preserve"> a permit to work scheme </w:t>
            </w:r>
            <w:r>
              <w:t xml:space="preserve">is </w:t>
            </w:r>
            <w:r w:rsidR="00145B15">
              <w:t>requir</w:t>
            </w:r>
            <w:r>
              <w:t xml:space="preserve">ed in the work area it is </w:t>
            </w:r>
            <w:r w:rsidR="00145B15">
              <w:t>strictly enforced</w:t>
            </w:r>
          </w:p>
        </w:tc>
      </w:tr>
      <w:tr w:rsidR="00145B15" w:rsidTr="00DE5D12">
        <w:tc>
          <w:tcPr>
            <w:tcW w:w="8613" w:type="dxa"/>
            <w:shd w:val="clear" w:color="auto" w:fill="D9D9D9" w:themeFill="background1" w:themeFillShade="D9"/>
          </w:tcPr>
          <w:p w:rsidR="00145B15" w:rsidRDefault="00145B15" w:rsidP="009D1514">
            <w:r>
              <w:t>In the case where there are explosive atmospheres</w:t>
            </w:r>
          </w:p>
          <w:p w:rsidR="00145B15" w:rsidRDefault="005C02F2" w:rsidP="00D72596">
            <w:r>
              <w:t>(</w:t>
            </w:r>
            <w:r w:rsidR="008461BA">
              <w:t xml:space="preserve">If not applicable </w:t>
            </w:r>
            <w:r w:rsidR="00145B15">
              <w:t>proceed to storage</w:t>
            </w:r>
            <w:r>
              <w:t>)</w:t>
            </w:r>
            <w:r w:rsidR="00145B15">
              <w:t xml:space="preserve">   </w:t>
            </w:r>
          </w:p>
        </w:tc>
      </w:tr>
      <w:tr w:rsidR="00145B15" w:rsidTr="00E71009">
        <w:tc>
          <w:tcPr>
            <w:tcW w:w="8613" w:type="dxa"/>
          </w:tcPr>
          <w:p w:rsidR="00145B15" w:rsidRDefault="008461BA" w:rsidP="009D1514">
            <w:r>
              <w:t>A</w:t>
            </w:r>
            <w:r w:rsidR="00145B15">
              <w:t xml:space="preserve">ll such areas </w:t>
            </w:r>
            <w:r>
              <w:t xml:space="preserve">where there are likely to be explosive atmospheres have </w:t>
            </w:r>
            <w:r w:rsidR="00145B15">
              <w:t>been classified into Zones in accordance with Schedule 2 to the Regulations</w:t>
            </w:r>
          </w:p>
        </w:tc>
      </w:tr>
      <w:tr w:rsidR="00145B15" w:rsidTr="00E71009">
        <w:tc>
          <w:tcPr>
            <w:tcW w:w="8613" w:type="dxa"/>
          </w:tcPr>
          <w:p w:rsidR="00145B15" w:rsidRDefault="00B2483D" w:rsidP="009D1514">
            <w:r>
              <w:t>Where necessary, t</w:t>
            </w:r>
            <w:r w:rsidR="008461BA">
              <w:t>he</w:t>
            </w:r>
            <w:r w:rsidR="00145B15">
              <w:t xml:space="preserve"> classified zones</w:t>
            </w:r>
            <w:r>
              <w:t xml:space="preserve"> have</w:t>
            </w:r>
            <w:r w:rsidR="00145B15">
              <w:t xml:space="preserve"> been marked at all their entry points with the specified hazard warning sign? </w:t>
            </w:r>
            <w:r w:rsidR="00145B15">
              <w:rPr>
                <w:noProof/>
                <w:lang w:eastAsia="en-GB"/>
              </w:rPr>
              <w:drawing>
                <wp:inline distT="0" distB="0" distL="0" distR="0" wp14:anchorId="686C164D" wp14:editId="47FC5CD2">
                  <wp:extent cx="513291" cy="466725"/>
                  <wp:effectExtent l="0" t="0" r="0" b="0"/>
                  <wp:docPr id="20" name="Picture 20" descr="C:\Users\mbdssema\AppData\Local\Microsoft\Windows\Temporary Internet Files\Content.IE5\7H8F7LB2\350px-Ex-zeichen.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bdssema\AppData\Local\Microsoft\Windows\Temporary Internet Files\Content.IE5\7H8F7LB2\350px-Ex-zeichen.svg[1].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9804" cy="472648"/>
                          </a:xfrm>
                          <a:prstGeom prst="rect">
                            <a:avLst/>
                          </a:prstGeom>
                          <a:noFill/>
                          <a:ln>
                            <a:noFill/>
                          </a:ln>
                        </pic:spPr>
                      </pic:pic>
                    </a:graphicData>
                  </a:graphic>
                </wp:inline>
              </w:drawing>
            </w:r>
          </w:p>
        </w:tc>
      </w:tr>
      <w:tr w:rsidR="00B2483D" w:rsidTr="00E71009">
        <w:tc>
          <w:tcPr>
            <w:tcW w:w="8613" w:type="dxa"/>
          </w:tcPr>
          <w:p w:rsidR="00B2483D" w:rsidRDefault="00B2483D" w:rsidP="009D1514">
            <w:r>
              <w:t>External entrances into classified zones are marked with no smoking signs</w:t>
            </w:r>
            <w:r w:rsidR="003752C7">
              <w:t xml:space="preserve"> </w:t>
            </w:r>
            <w:r w:rsidR="003752C7">
              <w:rPr>
                <w:noProof/>
                <w:lang w:eastAsia="en-GB"/>
              </w:rPr>
              <w:drawing>
                <wp:inline distT="0" distB="0" distL="0" distR="0" wp14:anchorId="238A4BF5" wp14:editId="41C2956F">
                  <wp:extent cx="533400" cy="7107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smoking.gif"/>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33400" cy="710784"/>
                          </a:xfrm>
                          <a:prstGeom prst="rect">
                            <a:avLst/>
                          </a:prstGeom>
                        </pic:spPr>
                      </pic:pic>
                    </a:graphicData>
                  </a:graphic>
                </wp:inline>
              </w:drawing>
            </w:r>
          </w:p>
        </w:tc>
      </w:tr>
      <w:tr w:rsidR="00145B15" w:rsidTr="00E71009">
        <w:tc>
          <w:tcPr>
            <w:tcW w:w="8613" w:type="dxa"/>
          </w:tcPr>
          <w:p w:rsidR="00145B15" w:rsidRDefault="00B2483D" w:rsidP="009D1514">
            <w:r>
              <w:t>A</w:t>
            </w:r>
            <w:r w:rsidR="00145B15">
              <w:t xml:space="preserve">ll areas that are </w:t>
            </w:r>
            <w:r>
              <w:t>classified into</w:t>
            </w:r>
            <w:r w:rsidR="00145B15">
              <w:t xml:space="preserve"> zones </w:t>
            </w:r>
            <w:r>
              <w:t xml:space="preserve">are </w:t>
            </w:r>
            <w:r w:rsidR="00145B15">
              <w:t>appropriately protected from sources of ignition through the selection of equipment and protective systems compliant with the Equipment and Protective Systems Intended for Use in Potentially Explosive Atmospheres Regulations 1996?</w:t>
            </w:r>
          </w:p>
        </w:tc>
      </w:tr>
      <w:tr w:rsidR="00145B15" w:rsidTr="00E71009">
        <w:tc>
          <w:tcPr>
            <w:tcW w:w="8613" w:type="dxa"/>
          </w:tcPr>
          <w:p w:rsidR="00145B15" w:rsidRDefault="00B2483D" w:rsidP="009D1514">
            <w:r>
              <w:t>Staff and students</w:t>
            </w:r>
            <w:r w:rsidR="00145B15">
              <w:t xml:space="preserve"> working in zoned areas </w:t>
            </w:r>
            <w:r>
              <w:t xml:space="preserve">are </w:t>
            </w:r>
            <w:r w:rsidR="00C71710">
              <w:t>wearing</w:t>
            </w:r>
            <w:r w:rsidR="00145B15">
              <w:t xml:space="preserve"> </w:t>
            </w:r>
            <w:r w:rsidR="00C71710">
              <w:t xml:space="preserve">outer </w:t>
            </w:r>
            <w:r w:rsidR="00145B15">
              <w:t>clothing that does not create a risk of electrostatic discharge?</w:t>
            </w:r>
          </w:p>
        </w:tc>
      </w:tr>
      <w:tr w:rsidR="00145B15" w:rsidTr="00E71009">
        <w:tc>
          <w:tcPr>
            <w:tcW w:w="8613" w:type="dxa"/>
          </w:tcPr>
          <w:p w:rsidR="00145B15" w:rsidRDefault="00B2483D" w:rsidP="009D1514">
            <w:r>
              <w:t>A</w:t>
            </w:r>
            <w:r w:rsidR="00145B15">
              <w:t xml:space="preserve">reas where explosive atmospheres may be present, before their first operation, </w:t>
            </w:r>
            <w:r>
              <w:t xml:space="preserve">have </w:t>
            </w:r>
            <w:r w:rsidR="00145B15">
              <w:t>been verified as being safe by a person, or organisation being competent in the field of explosion protection</w:t>
            </w:r>
          </w:p>
        </w:tc>
      </w:tr>
      <w:tr w:rsidR="00145B15" w:rsidTr="00E71009">
        <w:tc>
          <w:tcPr>
            <w:tcW w:w="8613" w:type="dxa"/>
            <w:shd w:val="clear" w:color="auto" w:fill="D9D9D9" w:themeFill="background1" w:themeFillShade="D9"/>
          </w:tcPr>
          <w:p w:rsidR="00145B15" w:rsidRDefault="00145B15" w:rsidP="009D1514">
            <w:r>
              <w:t>Storage</w:t>
            </w:r>
          </w:p>
        </w:tc>
      </w:tr>
      <w:tr w:rsidR="00145B15" w:rsidTr="00E71009">
        <w:tc>
          <w:tcPr>
            <w:tcW w:w="8613" w:type="dxa"/>
          </w:tcPr>
          <w:p w:rsidR="00145B15" w:rsidRDefault="00AB440A" w:rsidP="00AB440A">
            <w:r>
              <w:t xml:space="preserve">Containers containing over 500ml extremely </w:t>
            </w:r>
            <w:r w:rsidR="00145B15">
              <w:t>flammable</w:t>
            </w:r>
            <w:r>
              <w:t xml:space="preserve"> and highly flammable </w:t>
            </w:r>
            <w:r w:rsidR="00145B15">
              <w:t>substances</w:t>
            </w:r>
            <w:r>
              <w:t xml:space="preserve"> are stored in </w:t>
            </w:r>
            <w:r w:rsidR="00145B15">
              <w:t>suitable fire resistant storage</w:t>
            </w:r>
            <w:r>
              <w:t xml:space="preserve"> containers, to a maximum value of 50 litres of any class of flammable liquid per workspace</w:t>
            </w:r>
          </w:p>
        </w:tc>
      </w:tr>
      <w:tr w:rsidR="00145B15" w:rsidTr="00E71009">
        <w:tc>
          <w:tcPr>
            <w:tcW w:w="8613" w:type="dxa"/>
          </w:tcPr>
          <w:p w:rsidR="00145B15" w:rsidRDefault="00AB440A" w:rsidP="009D1514">
            <w:r>
              <w:t>Quantities exceeding 50 litres of any class of flammable liquid stored in a workspace are</w:t>
            </w:r>
            <w:r w:rsidR="00145B15">
              <w:t xml:space="preserve"> kept in dedicated and appropriately protected flammable stores</w:t>
            </w:r>
            <w:r>
              <w:t xml:space="preserve"> (or cabinets meeting BS EN 14470-1)</w:t>
            </w:r>
          </w:p>
        </w:tc>
      </w:tr>
      <w:tr w:rsidR="00AB440A" w:rsidTr="00E71009">
        <w:tc>
          <w:tcPr>
            <w:tcW w:w="8613" w:type="dxa"/>
          </w:tcPr>
          <w:p w:rsidR="00AB440A" w:rsidRDefault="00AB440A" w:rsidP="009D1514">
            <w:r>
              <w:t>All storage areas are bunded with sufficient capacity in the bund to take 110%</w:t>
            </w:r>
            <w:r w:rsidR="00165E05">
              <w:t xml:space="preserve"> of the volume of the largest container or 25% of the total volume of liquid stored, whichever is the greater</w:t>
            </w:r>
          </w:p>
        </w:tc>
      </w:tr>
      <w:tr w:rsidR="00145B15" w:rsidTr="00E71009">
        <w:tc>
          <w:tcPr>
            <w:tcW w:w="8613" w:type="dxa"/>
          </w:tcPr>
          <w:p w:rsidR="00145B15" w:rsidRDefault="00AB440A" w:rsidP="009D1514">
            <w:r>
              <w:t>I</w:t>
            </w:r>
            <w:r w:rsidR="00145B15">
              <w:t xml:space="preserve">ncompatible substances </w:t>
            </w:r>
            <w:r>
              <w:t xml:space="preserve">are stored apart (eg. flammables, </w:t>
            </w:r>
            <w:r w:rsidR="00145B15">
              <w:t xml:space="preserve">oxidisers, </w:t>
            </w:r>
            <w:r>
              <w:t xml:space="preserve">corrosives, </w:t>
            </w:r>
            <w:r w:rsidR="00145B15">
              <w:t>combustibles</w:t>
            </w:r>
            <w:r>
              <w:t>,</w:t>
            </w:r>
            <w:r w:rsidR="00145B15">
              <w:t xml:space="preserve"> flammable gases, LPG</w:t>
            </w:r>
            <w:r>
              <w:t xml:space="preserve"> etc.</w:t>
            </w:r>
            <w:r w:rsidR="00145B15">
              <w:t>)</w:t>
            </w:r>
          </w:p>
        </w:tc>
      </w:tr>
      <w:tr w:rsidR="00145B15" w:rsidTr="00E71009">
        <w:tc>
          <w:tcPr>
            <w:tcW w:w="8613" w:type="dxa"/>
          </w:tcPr>
          <w:p w:rsidR="00145B15" w:rsidRDefault="00AB440A" w:rsidP="009D1514">
            <w:r>
              <w:t>S</w:t>
            </w:r>
            <w:r w:rsidR="00145B15">
              <w:t>torage areas</w:t>
            </w:r>
            <w:r>
              <w:t xml:space="preserve"> have</w:t>
            </w:r>
            <w:r w:rsidR="00145B15">
              <w:t xml:space="preserve"> been designed to provide explosion relief/ resistance</w:t>
            </w:r>
            <w:r>
              <w:t xml:space="preserve"> where </w:t>
            </w:r>
            <w:r>
              <w:lastRenderedPageBreak/>
              <w:t>appropriate</w:t>
            </w:r>
          </w:p>
        </w:tc>
      </w:tr>
      <w:tr w:rsidR="00145B15" w:rsidTr="00E71009">
        <w:tc>
          <w:tcPr>
            <w:tcW w:w="8613" w:type="dxa"/>
            <w:shd w:val="clear" w:color="auto" w:fill="D9D9D9" w:themeFill="background1" w:themeFillShade="D9"/>
          </w:tcPr>
          <w:p w:rsidR="00145B15" w:rsidRDefault="00145B15" w:rsidP="009D1514">
            <w:r>
              <w:lastRenderedPageBreak/>
              <w:t>Transport</w:t>
            </w:r>
          </w:p>
        </w:tc>
      </w:tr>
      <w:tr w:rsidR="00145B15" w:rsidTr="00E71009">
        <w:tc>
          <w:tcPr>
            <w:tcW w:w="8613" w:type="dxa"/>
          </w:tcPr>
          <w:p w:rsidR="00145B15" w:rsidRDefault="00165E05" w:rsidP="009D1514">
            <w:r>
              <w:t>Appropriate trolleys or other carriers (eg Winchester carriers) are used to</w:t>
            </w:r>
            <w:r w:rsidR="00145B15">
              <w:t xml:space="preserve"> transport flammable solvents from places of storage to places of work</w:t>
            </w:r>
          </w:p>
        </w:tc>
      </w:tr>
      <w:tr w:rsidR="00145B15" w:rsidTr="00E71009">
        <w:tc>
          <w:tcPr>
            <w:tcW w:w="8613" w:type="dxa"/>
          </w:tcPr>
          <w:p w:rsidR="00145B15" w:rsidRDefault="00165E05" w:rsidP="009D1514">
            <w:r>
              <w:t>A</w:t>
            </w:r>
            <w:r w:rsidR="00145B15">
              <w:t>ppropriate trolleys and equipment</w:t>
            </w:r>
            <w:r>
              <w:t xml:space="preserve"> are</w:t>
            </w:r>
            <w:r w:rsidR="00145B15">
              <w:t xml:space="preserve"> available</w:t>
            </w:r>
            <w:r>
              <w:t xml:space="preserve"> and used</w:t>
            </w:r>
            <w:r w:rsidR="00145B15">
              <w:t xml:space="preserve"> to move gas cylinders</w:t>
            </w:r>
          </w:p>
        </w:tc>
      </w:tr>
      <w:tr w:rsidR="00145B15" w:rsidTr="00E71009">
        <w:tc>
          <w:tcPr>
            <w:tcW w:w="8613" w:type="dxa"/>
            <w:shd w:val="clear" w:color="auto" w:fill="D9D9D9" w:themeFill="background1" w:themeFillShade="D9"/>
          </w:tcPr>
          <w:p w:rsidR="00145B15" w:rsidRDefault="00C71710" w:rsidP="009D1514">
            <w:r>
              <w:t xml:space="preserve">Mitigation of Adverse Situations and </w:t>
            </w:r>
            <w:r w:rsidR="00145B15">
              <w:t>Waste Disposal</w:t>
            </w:r>
          </w:p>
        </w:tc>
      </w:tr>
      <w:tr w:rsidR="00165E05" w:rsidTr="00E71009">
        <w:tc>
          <w:tcPr>
            <w:tcW w:w="8613" w:type="dxa"/>
          </w:tcPr>
          <w:p w:rsidR="00165E05" w:rsidRDefault="00165E05" w:rsidP="009D1514">
            <w:r>
              <w:t>Suitable emergency procedures have been developed and communicated to the users to deal with spillages or other release of dangerous substances</w:t>
            </w:r>
          </w:p>
        </w:tc>
      </w:tr>
      <w:tr w:rsidR="00145B15" w:rsidTr="00E71009">
        <w:tc>
          <w:tcPr>
            <w:tcW w:w="8613" w:type="dxa"/>
          </w:tcPr>
          <w:p w:rsidR="00145B15" w:rsidRDefault="00165E05" w:rsidP="009D1514">
            <w:r>
              <w:t>S</w:t>
            </w:r>
            <w:r w:rsidR="00145B15">
              <w:t xml:space="preserve">uitable procedures </w:t>
            </w:r>
            <w:r>
              <w:t xml:space="preserve">have </w:t>
            </w:r>
            <w:r w:rsidR="00145B15">
              <w:t>been developed a</w:t>
            </w:r>
            <w:r>
              <w:t>nd communicated to the users</w:t>
            </w:r>
            <w:r w:rsidR="00145B15">
              <w:t xml:space="preserve"> to deal with adverse process conditions (e.g. exceeding limits of temperature, or other control settings)</w:t>
            </w:r>
          </w:p>
        </w:tc>
      </w:tr>
      <w:tr w:rsidR="00145B15" w:rsidTr="00E71009">
        <w:tc>
          <w:tcPr>
            <w:tcW w:w="8613" w:type="dxa"/>
          </w:tcPr>
          <w:p w:rsidR="00145B15" w:rsidRDefault="00165E05" w:rsidP="009D1514">
            <w:r>
              <w:t>S</w:t>
            </w:r>
            <w:r w:rsidR="00145B15">
              <w:t xml:space="preserve">uitable emergency procedures </w:t>
            </w:r>
            <w:r>
              <w:t xml:space="preserve">have </w:t>
            </w:r>
            <w:r w:rsidR="00145B15">
              <w:t>been developed and</w:t>
            </w:r>
            <w:r w:rsidR="005C02F2">
              <w:t xml:space="preserve"> communicated to</w:t>
            </w:r>
            <w:r>
              <w:t xml:space="preserve"> the users</w:t>
            </w:r>
            <w:r w:rsidR="00145B15">
              <w:t xml:space="preserve"> to deal with fire and evacuation</w:t>
            </w:r>
          </w:p>
        </w:tc>
      </w:tr>
      <w:tr w:rsidR="00145B15" w:rsidTr="00E71009">
        <w:tc>
          <w:tcPr>
            <w:tcW w:w="8613" w:type="dxa"/>
            <w:shd w:val="clear" w:color="auto" w:fill="D9D9D9" w:themeFill="background1" w:themeFillShade="D9"/>
          </w:tcPr>
          <w:p w:rsidR="00145B15" w:rsidRDefault="00B25B05" w:rsidP="009D1514">
            <w:r>
              <w:t xml:space="preserve">Information, instruction, </w:t>
            </w:r>
            <w:r w:rsidR="00145B15">
              <w:t>training</w:t>
            </w:r>
            <w:r>
              <w:t xml:space="preserve"> and supervision</w:t>
            </w:r>
          </w:p>
        </w:tc>
      </w:tr>
      <w:tr w:rsidR="00145B15" w:rsidTr="00E71009">
        <w:tc>
          <w:tcPr>
            <w:tcW w:w="8613" w:type="dxa"/>
          </w:tcPr>
          <w:p w:rsidR="005C02F2" w:rsidRDefault="005C02F2" w:rsidP="005C02F2">
            <w:r>
              <w:t>A</w:t>
            </w:r>
            <w:r w:rsidR="00145B15">
              <w:t>ppropriate information, instruction and training, commensurate w</w:t>
            </w:r>
            <w:r>
              <w:t xml:space="preserve">ith the hazard and risks of the </w:t>
            </w:r>
            <w:r w:rsidR="00145B15">
              <w:t>dangerous substances, or processes</w:t>
            </w:r>
            <w:r w:rsidR="00B25B05">
              <w:t>, been provided to the users</w:t>
            </w:r>
            <w:r w:rsidR="00145B15">
              <w:t xml:space="preserve"> in respect of: </w:t>
            </w:r>
          </w:p>
          <w:p w:rsidR="00B25B05" w:rsidRDefault="005C02F2" w:rsidP="005C02F2">
            <w:pPr>
              <w:pStyle w:val="ListParagraph"/>
              <w:numPr>
                <w:ilvl w:val="0"/>
                <w:numId w:val="17"/>
              </w:numPr>
            </w:pPr>
            <w:r>
              <w:t>product detail</w:t>
            </w:r>
          </w:p>
          <w:p w:rsidR="00B25B05" w:rsidRDefault="005C02F2" w:rsidP="005C02F2">
            <w:pPr>
              <w:pStyle w:val="ListParagraph"/>
              <w:numPr>
                <w:ilvl w:val="0"/>
                <w:numId w:val="17"/>
              </w:numPr>
            </w:pPr>
            <w:r>
              <w:t>hazard</w:t>
            </w:r>
          </w:p>
          <w:p w:rsidR="00B25B05" w:rsidRDefault="00145B15" w:rsidP="005C02F2">
            <w:pPr>
              <w:pStyle w:val="ListParagraph"/>
              <w:numPr>
                <w:ilvl w:val="0"/>
                <w:numId w:val="17"/>
              </w:numPr>
            </w:pPr>
            <w:r>
              <w:t>risk re</w:t>
            </w:r>
            <w:r w:rsidR="00B25B05">
              <w:t>duction methods to be employed</w:t>
            </w:r>
          </w:p>
          <w:p w:rsidR="00B25B05" w:rsidRDefault="00145B15" w:rsidP="005C02F2">
            <w:pPr>
              <w:pStyle w:val="ListParagraph"/>
              <w:numPr>
                <w:ilvl w:val="0"/>
                <w:numId w:val="17"/>
              </w:numPr>
            </w:pPr>
            <w:r>
              <w:t>management systems to be f</w:t>
            </w:r>
            <w:r w:rsidR="00D3598F">
              <w:t>ollowed</w:t>
            </w:r>
            <w:r>
              <w:t xml:space="preserve"> </w:t>
            </w:r>
          </w:p>
          <w:p w:rsidR="00145B15" w:rsidRDefault="00145B15" w:rsidP="005C02F2">
            <w:pPr>
              <w:pStyle w:val="ListParagraph"/>
              <w:numPr>
                <w:ilvl w:val="0"/>
                <w:numId w:val="17"/>
              </w:numPr>
            </w:pPr>
            <w:proofErr w:type="gramStart"/>
            <w:r>
              <w:t>emergency</w:t>
            </w:r>
            <w:proofErr w:type="gramEnd"/>
            <w:r>
              <w:t xml:space="preserve"> systems etc.?</w:t>
            </w:r>
          </w:p>
        </w:tc>
      </w:tr>
      <w:tr w:rsidR="00145B15" w:rsidTr="00E71009">
        <w:tc>
          <w:tcPr>
            <w:tcW w:w="8613" w:type="dxa"/>
          </w:tcPr>
          <w:p w:rsidR="00145B15" w:rsidRDefault="00B25B05" w:rsidP="009D1514">
            <w:r>
              <w:t xml:space="preserve">There is supervision available until the users are familiar with the activities being carried out and are </w:t>
            </w:r>
            <w:r w:rsidR="00E71009">
              <w:t>deemed competent by a senior person to carry them out without being closely supervised</w:t>
            </w:r>
          </w:p>
        </w:tc>
      </w:tr>
    </w:tbl>
    <w:p w:rsidR="00D72596" w:rsidRDefault="00D72596"/>
    <w:sectPr w:rsidR="00D72596" w:rsidSect="00145B15">
      <w:footerReference w:type="default" r:id="rId2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FC9" w:rsidRDefault="00EB0FC9" w:rsidP="000D5B3D">
      <w:r>
        <w:separator/>
      </w:r>
    </w:p>
  </w:endnote>
  <w:endnote w:type="continuationSeparator" w:id="0">
    <w:p w:rsidR="00EB0FC9" w:rsidRDefault="00EB0FC9" w:rsidP="000D5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B3D" w:rsidRPr="004E63A9" w:rsidRDefault="000D5B3D" w:rsidP="000D5B3D">
    <w:pPr>
      <w:pStyle w:val="Footer"/>
      <w:rPr>
        <w:shd w:val="pct15" w:color="auto" w:fill="FFFFFF"/>
      </w:rPr>
    </w:pPr>
  </w:p>
  <w:p w:rsidR="000D5B3D" w:rsidRDefault="001A4E8C" w:rsidP="000D5B3D">
    <w:pPr>
      <w:pStyle w:val="Footer"/>
      <w:rPr>
        <w:highlight w:val="lightGray"/>
      </w:rPr>
    </w:pPr>
    <w:r>
      <w:rPr>
        <w:highlight w:val="lightGray"/>
      </w:rPr>
      <w:tab/>
    </w:r>
    <w:r>
      <w:rPr>
        <w:highlight w:val="lightGray"/>
      </w:rPr>
      <w:tab/>
    </w:r>
    <w:r w:rsidR="000D5B3D" w:rsidRPr="004E63A9">
      <w:rPr>
        <w:highlight w:val="lightGray"/>
      </w:rPr>
      <w:t xml:space="preserve">Page </w:t>
    </w:r>
    <w:r w:rsidR="00992FB7" w:rsidRPr="004E63A9">
      <w:rPr>
        <w:highlight w:val="lightGray"/>
      </w:rPr>
      <w:fldChar w:fldCharType="begin"/>
    </w:r>
    <w:r w:rsidR="000D5B3D" w:rsidRPr="004E63A9">
      <w:rPr>
        <w:highlight w:val="lightGray"/>
      </w:rPr>
      <w:instrText xml:space="preserve"> PAGE </w:instrText>
    </w:r>
    <w:r w:rsidR="00992FB7" w:rsidRPr="004E63A9">
      <w:rPr>
        <w:highlight w:val="lightGray"/>
      </w:rPr>
      <w:fldChar w:fldCharType="separate"/>
    </w:r>
    <w:r w:rsidR="001542C6">
      <w:rPr>
        <w:noProof/>
        <w:highlight w:val="lightGray"/>
      </w:rPr>
      <w:t>3</w:t>
    </w:r>
    <w:r w:rsidR="00992FB7" w:rsidRPr="004E63A9">
      <w:rPr>
        <w:highlight w:val="lightGray"/>
      </w:rPr>
      <w:fldChar w:fldCharType="end"/>
    </w:r>
    <w:r w:rsidR="000D5B3D" w:rsidRPr="004E63A9">
      <w:rPr>
        <w:highlight w:val="lightGray"/>
      </w:rPr>
      <w:t xml:space="preserve"> of </w:t>
    </w:r>
    <w:r w:rsidR="00992FB7" w:rsidRPr="004E63A9">
      <w:rPr>
        <w:highlight w:val="lightGray"/>
      </w:rPr>
      <w:fldChar w:fldCharType="begin"/>
    </w:r>
    <w:r w:rsidR="000D5B3D" w:rsidRPr="004E63A9">
      <w:rPr>
        <w:highlight w:val="lightGray"/>
      </w:rPr>
      <w:instrText xml:space="preserve"> NUMPAGES </w:instrText>
    </w:r>
    <w:r w:rsidR="00992FB7" w:rsidRPr="004E63A9">
      <w:rPr>
        <w:highlight w:val="lightGray"/>
      </w:rPr>
      <w:fldChar w:fldCharType="separate"/>
    </w:r>
    <w:r w:rsidR="001542C6">
      <w:rPr>
        <w:noProof/>
        <w:highlight w:val="lightGray"/>
      </w:rPr>
      <w:t>9</w:t>
    </w:r>
    <w:r w:rsidR="00992FB7" w:rsidRPr="004E63A9">
      <w:rPr>
        <w:highlight w:val="lightGray"/>
      </w:rPr>
      <w:fldChar w:fldCharType="end"/>
    </w:r>
  </w:p>
  <w:p w:rsidR="00D72596" w:rsidRPr="00D72596" w:rsidRDefault="001A4E8C" w:rsidP="00D72596">
    <w:pPr>
      <w:pStyle w:val="Footer"/>
      <w:rPr>
        <w:highlight w:val="lightGray"/>
      </w:rPr>
    </w:pPr>
    <w:r>
      <w:rPr>
        <w:highlight w:val="lightGray"/>
      </w:rPr>
      <w:tab/>
    </w:r>
    <w:r>
      <w:rPr>
        <w:highlight w:val="lightGray"/>
      </w:rPr>
      <w:tab/>
    </w:r>
    <w:r w:rsidR="00D72596">
      <w:rPr>
        <w:highlight w:val="lightGray"/>
      </w:rPr>
      <w:t>Version 1.1</w:t>
    </w:r>
    <w:r w:rsidR="001542C6">
      <w:rPr>
        <w:highlight w:val="lightGray"/>
      </w:rPr>
      <w:t xml:space="preserve"> - Jul 2016</w:t>
    </w:r>
  </w:p>
  <w:p w:rsidR="000D5B3D" w:rsidRPr="007A5469" w:rsidRDefault="001A4E8C" w:rsidP="000D5B3D">
    <w:pPr>
      <w:pStyle w:val="Footer"/>
      <w:rPr>
        <w:shd w:val="pct15" w:color="auto" w:fill="FFFFFF"/>
      </w:rPr>
    </w:pPr>
    <w:r>
      <w:rPr>
        <w:highlight w:val="lightGray"/>
        <w:shd w:val="pct15" w:color="auto" w:fill="FFFFFF"/>
      </w:rPr>
      <w:tab/>
    </w:r>
    <w:r>
      <w:rPr>
        <w:highlight w:val="lightGray"/>
        <w:shd w:val="pct15" w:color="auto" w:fill="FFFFFF"/>
      </w:rPr>
      <w:tab/>
    </w:r>
    <w:r w:rsidR="000D5B3D">
      <w:rPr>
        <w:highlight w:val="lightGray"/>
        <w:shd w:val="pct15" w:color="auto" w:fill="FFFFFF"/>
      </w:rPr>
      <w:t>C</w:t>
    </w:r>
    <w:r w:rsidR="000D5B3D" w:rsidRPr="0064123B">
      <w:rPr>
        <w:highlight w:val="lightGray"/>
        <w:shd w:val="pct15" w:color="auto" w:fill="FFFFFF"/>
      </w:rPr>
      <w:t>ontact</w:t>
    </w:r>
    <w:r>
      <w:rPr>
        <w:highlight w:val="lightGray"/>
        <w:shd w:val="pct15" w:color="auto" w:fill="FFFFFF"/>
      </w:rPr>
      <w:t>:</w:t>
    </w:r>
    <w:r w:rsidR="001063F0">
      <w:rPr>
        <w:shd w:val="pct15" w:color="auto" w:fill="FFFFFF"/>
      </w:rPr>
      <w:t xml:space="preserve"> Elaine Armstrong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E8C" w:rsidRPr="004E63A9" w:rsidRDefault="001A4E8C" w:rsidP="000D5B3D">
    <w:pPr>
      <w:pStyle w:val="Footer"/>
      <w:rPr>
        <w:shd w:val="pct15" w:color="auto" w:fill="FFFFFF"/>
      </w:rPr>
    </w:pPr>
  </w:p>
  <w:p w:rsidR="001A4E8C" w:rsidRDefault="001A4E8C" w:rsidP="000D5B3D">
    <w:pPr>
      <w:pStyle w:val="Footer"/>
      <w:rPr>
        <w:highlight w:val="lightGray"/>
      </w:rPr>
    </w:pPr>
    <w:r>
      <w:rPr>
        <w:highlight w:val="lightGray"/>
      </w:rPr>
      <w:t xml:space="preserve">                                                                    </w:t>
    </w:r>
    <w:r>
      <w:rPr>
        <w:highlight w:val="lightGray"/>
      </w:rPr>
      <w:tab/>
    </w:r>
    <w:r>
      <w:rPr>
        <w:highlight w:val="lightGray"/>
      </w:rPr>
      <w:tab/>
    </w:r>
    <w:r>
      <w:rPr>
        <w:highlight w:val="lightGray"/>
      </w:rPr>
      <w:tab/>
      <w:t xml:space="preserve">                                                        </w:t>
    </w:r>
    <w:r w:rsidRPr="004E63A9">
      <w:rPr>
        <w:highlight w:val="lightGray"/>
      </w:rPr>
      <w:t xml:space="preserve">Page </w:t>
    </w:r>
    <w:r w:rsidRPr="004E63A9">
      <w:rPr>
        <w:highlight w:val="lightGray"/>
      </w:rPr>
      <w:fldChar w:fldCharType="begin"/>
    </w:r>
    <w:r w:rsidRPr="004E63A9">
      <w:rPr>
        <w:highlight w:val="lightGray"/>
      </w:rPr>
      <w:instrText xml:space="preserve"> PAGE </w:instrText>
    </w:r>
    <w:r w:rsidRPr="004E63A9">
      <w:rPr>
        <w:highlight w:val="lightGray"/>
      </w:rPr>
      <w:fldChar w:fldCharType="separate"/>
    </w:r>
    <w:r w:rsidR="001542C6">
      <w:rPr>
        <w:noProof/>
        <w:highlight w:val="lightGray"/>
      </w:rPr>
      <w:t>5</w:t>
    </w:r>
    <w:r w:rsidRPr="004E63A9">
      <w:rPr>
        <w:highlight w:val="lightGray"/>
      </w:rPr>
      <w:fldChar w:fldCharType="end"/>
    </w:r>
    <w:r w:rsidRPr="004E63A9">
      <w:rPr>
        <w:highlight w:val="lightGray"/>
      </w:rPr>
      <w:t xml:space="preserve"> of </w:t>
    </w:r>
    <w:r w:rsidRPr="004E63A9">
      <w:rPr>
        <w:highlight w:val="lightGray"/>
      </w:rPr>
      <w:fldChar w:fldCharType="begin"/>
    </w:r>
    <w:r w:rsidRPr="004E63A9">
      <w:rPr>
        <w:highlight w:val="lightGray"/>
      </w:rPr>
      <w:instrText xml:space="preserve"> NUMPAGES </w:instrText>
    </w:r>
    <w:r w:rsidRPr="004E63A9">
      <w:rPr>
        <w:highlight w:val="lightGray"/>
      </w:rPr>
      <w:fldChar w:fldCharType="separate"/>
    </w:r>
    <w:r w:rsidR="001542C6">
      <w:rPr>
        <w:noProof/>
        <w:highlight w:val="lightGray"/>
      </w:rPr>
      <w:t>9</w:t>
    </w:r>
    <w:r w:rsidRPr="004E63A9">
      <w:rPr>
        <w:highlight w:val="lightGray"/>
      </w:rPr>
      <w:fldChar w:fldCharType="end"/>
    </w:r>
  </w:p>
  <w:p w:rsidR="001A4E8C" w:rsidRPr="00D72596" w:rsidRDefault="001A4E8C" w:rsidP="00D72596">
    <w:pPr>
      <w:pStyle w:val="Footer"/>
      <w:rPr>
        <w:highlight w:val="lightGray"/>
      </w:rPr>
    </w:pPr>
    <w:r w:rsidRPr="00D72596">
      <w:rPr>
        <w:highlight w:val="lightGray"/>
      </w:rPr>
      <w:t xml:space="preserve">                                                                      </w:t>
    </w:r>
    <w:r>
      <w:rPr>
        <w:highlight w:val="lightGray"/>
      </w:rPr>
      <w:tab/>
    </w:r>
    <w:r>
      <w:rPr>
        <w:highlight w:val="lightGray"/>
      </w:rPr>
      <w:tab/>
    </w:r>
    <w:r w:rsidRPr="00D72596">
      <w:rPr>
        <w:highlight w:val="lightGray"/>
      </w:rPr>
      <w:t xml:space="preserve">                              </w:t>
    </w:r>
    <w:r w:rsidR="001542C6">
      <w:rPr>
        <w:highlight w:val="lightGray"/>
      </w:rPr>
      <w:t xml:space="preserve"> </w:t>
    </w:r>
    <w:r w:rsidRPr="00D72596">
      <w:rPr>
        <w:highlight w:val="lightGray"/>
      </w:rPr>
      <w:t xml:space="preserve">       </w:t>
    </w:r>
    <w:r>
      <w:rPr>
        <w:highlight w:val="lightGray"/>
      </w:rPr>
      <w:t xml:space="preserve">  Version 1.1</w:t>
    </w:r>
    <w:r w:rsidR="001542C6">
      <w:rPr>
        <w:highlight w:val="lightGray"/>
      </w:rPr>
      <w:t xml:space="preserve"> – Jul 2016</w:t>
    </w:r>
  </w:p>
  <w:p w:rsidR="001A4E8C" w:rsidRPr="007A5469" w:rsidRDefault="001A4E8C" w:rsidP="000D5B3D">
    <w:pPr>
      <w:pStyle w:val="Footer"/>
      <w:rPr>
        <w:shd w:val="pct15" w:color="auto" w:fill="FFFFFF"/>
      </w:rPr>
    </w:pPr>
    <w:r>
      <w:rPr>
        <w:highlight w:val="lightGray"/>
        <w:shd w:val="pct15" w:color="auto" w:fill="FFFFFF"/>
      </w:rPr>
      <w:t xml:space="preserve">                                                                           </w:t>
    </w:r>
    <w:r>
      <w:rPr>
        <w:highlight w:val="lightGray"/>
        <w:shd w:val="pct15" w:color="auto" w:fill="FFFFFF"/>
      </w:rPr>
      <w:tab/>
    </w:r>
    <w:r>
      <w:rPr>
        <w:highlight w:val="lightGray"/>
        <w:shd w:val="pct15" w:color="auto" w:fill="FFFFFF"/>
      </w:rPr>
      <w:tab/>
    </w:r>
    <w:r>
      <w:rPr>
        <w:highlight w:val="lightGray"/>
        <w:shd w:val="pct15" w:color="auto" w:fill="FFFFFF"/>
      </w:rPr>
      <w:tab/>
      <w:t xml:space="preserve">                      C</w:t>
    </w:r>
    <w:r w:rsidRPr="0064123B">
      <w:rPr>
        <w:highlight w:val="lightGray"/>
        <w:shd w:val="pct15" w:color="auto" w:fill="FFFFFF"/>
      </w:rPr>
      <w:t>ontact</w:t>
    </w:r>
    <w:r>
      <w:rPr>
        <w:highlight w:val="lightGray"/>
        <w:shd w:val="pct15" w:color="auto" w:fill="FFFFFF"/>
      </w:rPr>
      <w:t xml:space="preserve">: </w:t>
    </w:r>
    <w:r>
      <w:rPr>
        <w:shd w:val="pct15" w:color="auto" w:fill="FFFFFF"/>
      </w:rPr>
      <w:t xml:space="preserve"> Elaine Armstrong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E8C" w:rsidRPr="004E63A9" w:rsidRDefault="001A4E8C" w:rsidP="000D5B3D">
    <w:pPr>
      <w:pStyle w:val="Footer"/>
      <w:rPr>
        <w:shd w:val="pct15" w:color="auto" w:fill="FFFFFF"/>
      </w:rPr>
    </w:pPr>
  </w:p>
  <w:p w:rsidR="001A4E8C" w:rsidRDefault="001A4E8C" w:rsidP="000D5B3D">
    <w:pPr>
      <w:pStyle w:val="Footer"/>
      <w:rPr>
        <w:highlight w:val="lightGray"/>
      </w:rPr>
    </w:pPr>
    <w:r>
      <w:rPr>
        <w:highlight w:val="lightGray"/>
      </w:rPr>
      <w:tab/>
    </w:r>
    <w:r>
      <w:rPr>
        <w:highlight w:val="lightGray"/>
      </w:rPr>
      <w:tab/>
    </w:r>
    <w:r w:rsidRPr="004E63A9">
      <w:rPr>
        <w:highlight w:val="lightGray"/>
      </w:rPr>
      <w:t xml:space="preserve">Page </w:t>
    </w:r>
    <w:r w:rsidRPr="004E63A9">
      <w:rPr>
        <w:highlight w:val="lightGray"/>
      </w:rPr>
      <w:fldChar w:fldCharType="begin"/>
    </w:r>
    <w:r w:rsidRPr="004E63A9">
      <w:rPr>
        <w:highlight w:val="lightGray"/>
      </w:rPr>
      <w:instrText xml:space="preserve"> PAGE </w:instrText>
    </w:r>
    <w:r w:rsidRPr="004E63A9">
      <w:rPr>
        <w:highlight w:val="lightGray"/>
      </w:rPr>
      <w:fldChar w:fldCharType="separate"/>
    </w:r>
    <w:r w:rsidR="001542C6">
      <w:rPr>
        <w:noProof/>
        <w:highlight w:val="lightGray"/>
      </w:rPr>
      <w:t>9</w:t>
    </w:r>
    <w:r w:rsidRPr="004E63A9">
      <w:rPr>
        <w:highlight w:val="lightGray"/>
      </w:rPr>
      <w:fldChar w:fldCharType="end"/>
    </w:r>
    <w:r w:rsidRPr="004E63A9">
      <w:rPr>
        <w:highlight w:val="lightGray"/>
      </w:rPr>
      <w:t xml:space="preserve"> of </w:t>
    </w:r>
    <w:r w:rsidRPr="004E63A9">
      <w:rPr>
        <w:highlight w:val="lightGray"/>
      </w:rPr>
      <w:fldChar w:fldCharType="begin"/>
    </w:r>
    <w:r w:rsidRPr="004E63A9">
      <w:rPr>
        <w:highlight w:val="lightGray"/>
      </w:rPr>
      <w:instrText xml:space="preserve"> NUMPAGES </w:instrText>
    </w:r>
    <w:r w:rsidRPr="004E63A9">
      <w:rPr>
        <w:highlight w:val="lightGray"/>
      </w:rPr>
      <w:fldChar w:fldCharType="separate"/>
    </w:r>
    <w:r w:rsidR="001542C6">
      <w:rPr>
        <w:noProof/>
        <w:highlight w:val="lightGray"/>
      </w:rPr>
      <w:t>9</w:t>
    </w:r>
    <w:r w:rsidRPr="004E63A9">
      <w:rPr>
        <w:highlight w:val="lightGray"/>
      </w:rPr>
      <w:fldChar w:fldCharType="end"/>
    </w:r>
  </w:p>
  <w:p w:rsidR="001542C6" w:rsidRDefault="001A4E8C" w:rsidP="000D5B3D">
    <w:pPr>
      <w:pStyle w:val="Footer"/>
      <w:rPr>
        <w:highlight w:val="lightGray"/>
      </w:rPr>
    </w:pPr>
    <w:r>
      <w:rPr>
        <w:highlight w:val="lightGray"/>
      </w:rPr>
      <w:tab/>
    </w:r>
    <w:r>
      <w:rPr>
        <w:highlight w:val="lightGray"/>
      </w:rPr>
      <w:tab/>
    </w:r>
    <w:r w:rsidRPr="00D72596">
      <w:rPr>
        <w:highlight w:val="lightGray"/>
      </w:rPr>
      <w:t xml:space="preserve">                                        </w:t>
    </w:r>
    <w:r>
      <w:rPr>
        <w:highlight w:val="lightGray"/>
      </w:rPr>
      <w:t>Version 1.</w:t>
    </w:r>
    <w:r w:rsidR="001542C6">
      <w:rPr>
        <w:highlight w:val="lightGray"/>
      </w:rPr>
      <w:t>1 – Jul 2016</w:t>
    </w:r>
  </w:p>
  <w:p w:rsidR="001A4E8C" w:rsidRPr="001A4E8C" w:rsidRDefault="001542C6" w:rsidP="000D5B3D">
    <w:pPr>
      <w:pStyle w:val="Footer"/>
      <w:rPr>
        <w:highlight w:val="lightGray"/>
      </w:rPr>
    </w:pPr>
    <w:r>
      <w:rPr>
        <w:highlight w:val="lightGray"/>
      </w:rPr>
      <w:t xml:space="preserve"> </w:t>
    </w:r>
    <w:r w:rsidR="001A4E8C">
      <w:rPr>
        <w:highlight w:val="lightGray"/>
        <w:shd w:val="pct15" w:color="auto" w:fill="FFFFFF"/>
      </w:rPr>
      <w:tab/>
    </w:r>
    <w:r w:rsidR="001A4E8C">
      <w:rPr>
        <w:highlight w:val="lightGray"/>
        <w:shd w:val="pct15" w:color="auto" w:fill="FFFFFF"/>
      </w:rPr>
      <w:tab/>
      <w:t xml:space="preserve">   C</w:t>
    </w:r>
    <w:r w:rsidR="001A4E8C" w:rsidRPr="0064123B">
      <w:rPr>
        <w:highlight w:val="lightGray"/>
        <w:shd w:val="pct15" w:color="auto" w:fill="FFFFFF"/>
      </w:rPr>
      <w:t>ontact</w:t>
    </w:r>
    <w:r w:rsidR="001A4E8C">
      <w:rPr>
        <w:highlight w:val="lightGray"/>
        <w:shd w:val="pct15" w:color="auto" w:fill="FFFFFF"/>
      </w:rPr>
      <w:t xml:space="preserve">: </w:t>
    </w:r>
    <w:r w:rsidR="001A4E8C">
      <w:rPr>
        <w:shd w:val="pct15" w:color="auto" w:fill="FFFFFF"/>
      </w:rPr>
      <w:t xml:space="preserve"> Elaine Armstrong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FC9" w:rsidRDefault="00EB0FC9" w:rsidP="000D5B3D">
      <w:r>
        <w:separator/>
      </w:r>
    </w:p>
  </w:footnote>
  <w:footnote w:type="continuationSeparator" w:id="0">
    <w:p w:rsidR="00EB0FC9" w:rsidRDefault="00EB0FC9" w:rsidP="000D5B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B3D" w:rsidRPr="00BC22DC" w:rsidRDefault="000D5B3D" w:rsidP="000D5B3D">
    <w:pPr>
      <w:pStyle w:val="Header"/>
    </w:pPr>
  </w:p>
  <w:p w:rsidR="000D5B3D" w:rsidRPr="00BC22DC" w:rsidRDefault="000D5B3D" w:rsidP="000D5B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2868EC"/>
    <w:lvl w:ilvl="0">
      <w:start w:val="1"/>
      <w:numFmt w:val="decimal"/>
      <w:lvlText w:val="%1."/>
      <w:lvlJc w:val="left"/>
      <w:pPr>
        <w:tabs>
          <w:tab w:val="num" w:pos="1492"/>
        </w:tabs>
        <w:ind w:left="1492" w:hanging="360"/>
      </w:pPr>
    </w:lvl>
  </w:abstractNum>
  <w:abstractNum w:abstractNumId="1">
    <w:nsid w:val="FFFFFF7D"/>
    <w:multiLevelType w:val="singleLevel"/>
    <w:tmpl w:val="14125586"/>
    <w:lvl w:ilvl="0">
      <w:start w:val="1"/>
      <w:numFmt w:val="decimal"/>
      <w:lvlText w:val="%1."/>
      <w:lvlJc w:val="left"/>
      <w:pPr>
        <w:tabs>
          <w:tab w:val="num" w:pos="1209"/>
        </w:tabs>
        <w:ind w:left="1209" w:hanging="360"/>
      </w:pPr>
    </w:lvl>
  </w:abstractNum>
  <w:abstractNum w:abstractNumId="2">
    <w:nsid w:val="FFFFFF7E"/>
    <w:multiLevelType w:val="singleLevel"/>
    <w:tmpl w:val="3A58B8BA"/>
    <w:lvl w:ilvl="0">
      <w:start w:val="1"/>
      <w:numFmt w:val="decimal"/>
      <w:lvlText w:val="%1."/>
      <w:lvlJc w:val="left"/>
      <w:pPr>
        <w:tabs>
          <w:tab w:val="num" w:pos="926"/>
        </w:tabs>
        <w:ind w:left="926" w:hanging="360"/>
      </w:pPr>
    </w:lvl>
  </w:abstractNum>
  <w:abstractNum w:abstractNumId="3">
    <w:nsid w:val="FFFFFF7F"/>
    <w:multiLevelType w:val="singleLevel"/>
    <w:tmpl w:val="F4061D52"/>
    <w:lvl w:ilvl="0">
      <w:start w:val="1"/>
      <w:numFmt w:val="decimal"/>
      <w:lvlText w:val="%1."/>
      <w:lvlJc w:val="left"/>
      <w:pPr>
        <w:tabs>
          <w:tab w:val="num" w:pos="643"/>
        </w:tabs>
        <w:ind w:left="643" w:hanging="360"/>
      </w:pPr>
    </w:lvl>
  </w:abstractNum>
  <w:abstractNum w:abstractNumId="4">
    <w:nsid w:val="FFFFFF80"/>
    <w:multiLevelType w:val="singleLevel"/>
    <w:tmpl w:val="6040DA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9D4DE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C801CD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C18D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4E631D4"/>
    <w:lvl w:ilvl="0">
      <w:start w:val="1"/>
      <w:numFmt w:val="decimal"/>
      <w:lvlText w:val="%1."/>
      <w:lvlJc w:val="left"/>
      <w:pPr>
        <w:tabs>
          <w:tab w:val="num" w:pos="360"/>
        </w:tabs>
        <w:ind w:left="360" w:hanging="360"/>
      </w:pPr>
    </w:lvl>
  </w:abstractNum>
  <w:abstractNum w:abstractNumId="9">
    <w:nsid w:val="FFFFFF89"/>
    <w:multiLevelType w:val="singleLevel"/>
    <w:tmpl w:val="241820F8"/>
    <w:lvl w:ilvl="0">
      <w:start w:val="1"/>
      <w:numFmt w:val="bullet"/>
      <w:lvlText w:val=""/>
      <w:lvlJc w:val="left"/>
      <w:pPr>
        <w:tabs>
          <w:tab w:val="num" w:pos="360"/>
        </w:tabs>
        <w:ind w:left="360" w:hanging="360"/>
      </w:pPr>
      <w:rPr>
        <w:rFonts w:ascii="Symbol" w:hAnsi="Symbol" w:hint="default"/>
      </w:rPr>
    </w:lvl>
  </w:abstractNum>
  <w:abstractNum w:abstractNumId="10">
    <w:nsid w:val="03451809"/>
    <w:multiLevelType w:val="hybridMultilevel"/>
    <w:tmpl w:val="A3A6A812"/>
    <w:lvl w:ilvl="0" w:tplc="48C40C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A0C317D"/>
    <w:multiLevelType w:val="hybridMultilevel"/>
    <w:tmpl w:val="BD643944"/>
    <w:lvl w:ilvl="0" w:tplc="595CAA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1A21E6D"/>
    <w:multiLevelType w:val="hybridMultilevel"/>
    <w:tmpl w:val="05503FCE"/>
    <w:lvl w:ilvl="0" w:tplc="A6B05A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8011801"/>
    <w:multiLevelType w:val="hybridMultilevel"/>
    <w:tmpl w:val="2F8EB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8A669F5"/>
    <w:multiLevelType w:val="hybridMultilevel"/>
    <w:tmpl w:val="06207182"/>
    <w:lvl w:ilvl="0" w:tplc="BBC6410E">
      <w:start w:val="1"/>
      <w:numFmt w:val="lowerLetter"/>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5">
    <w:nsid w:val="432407BA"/>
    <w:multiLevelType w:val="hybridMultilevel"/>
    <w:tmpl w:val="277C1284"/>
    <w:lvl w:ilvl="0" w:tplc="7C22BBAE">
      <w:start w:val="1"/>
      <w:numFmt w:val="lowerLetter"/>
      <w:pStyle w:val="HSSletteredlist"/>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4C97734C"/>
    <w:multiLevelType w:val="hybridMultilevel"/>
    <w:tmpl w:val="F70AF1CE"/>
    <w:lvl w:ilvl="0" w:tplc="0D04B1A6">
      <w:start w:val="1"/>
      <w:numFmt w:val="decimal"/>
      <w:pStyle w:val="HSSNumberedlist"/>
      <w:lvlText w:val="%1."/>
      <w:lvlJc w:val="left"/>
      <w:pPr>
        <w:tabs>
          <w:tab w:val="num" w:pos="720"/>
        </w:tabs>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09EBB7E">
      <w:numFmt w:val="bullet"/>
      <w:lvlText w:val=""/>
      <w:lvlJc w:val="left"/>
      <w:pPr>
        <w:tabs>
          <w:tab w:val="num" w:pos="1800"/>
        </w:tabs>
        <w:ind w:left="1800" w:hanging="720"/>
      </w:pPr>
      <w:rPr>
        <w:rFonts w:ascii="Symbol" w:eastAsia="Times New Roman" w:hAnsi="Symbol" w:cs="Aria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D65550"/>
    <w:multiLevelType w:val="hybridMultilevel"/>
    <w:tmpl w:val="287EBA12"/>
    <w:lvl w:ilvl="0" w:tplc="B7BA0B84">
      <w:start w:val="1"/>
      <w:numFmt w:val="bullet"/>
      <w:pStyle w:val="HSSbulletedlist"/>
      <w:lvlText w:val=""/>
      <w:lvlJc w:val="left"/>
      <w:pPr>
        <w:tabs>
          <w:tab w:val="num" w:pos="1021"/>
        </w:tabs>
        <w:ind w:left="1021" w:hanging="30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7C9F2B9A"/>
    <w:multiLevelType w:val="hybridMultilevel"/>
    <w:tmpl w:val="8B48E896"/>
    <w:lvl w:ilvl="0" w:tplc="AF362E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3"/>
  </w:num>
  <w:num w:numId="15">
    <w:abstractNumId w:val="18"/>
  </w:num>
  <w:num w:numId="16">
    <w:abstractNumId w:val="11"/>
  </w:num>
  <w:num w:numId="17">
    <w:abstractNumId w:val="10"/>
  </w:num>
  <w:num w:numId="18">
    <w:abstractNumId w:val="12"/>
  </w:num>
  <w:num w:numId="19">
    <w:abstractNumId w:val="16"/>
    <w:lvlOverride w:ilvl="0">
      <w:startOverride w:val="1"/>
    </w:lvlOverride>
  </w:num>
  <w:num w:numId="20">
    <w:abstractNumId w:val="16"/>
    <w:lvlOverride w:ilvl="0">
      <w:startOverride w:val="1"/>
    </w:lvlOverride>
  </w:num>
  <w:num w:numId="2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8" w:nlCheck="1" w:checkStyle="1"/>
  <w:activeWritingStyle w:appName="MSWord" w:lang="en-US" w:vendorID="64" w:dllVersion="131078" w:nlCheck="1"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noPunctuationKerning/>
  <w:characterSpacingControl w:val="doNotCompress"/>
  <w:hdrShapeDefaults>
    <o:shapedefaults v:ext="edit" spidmax="6145" style="mso-position-horizontal-relative:page;mso-position-vertical-relative:page;mso-width-relative:margin;mso-height-relative:margin" o:allowincell="f" fill="f" fillcolor="white" stroke="f" strokecolor="none [1279]">
      <v:fill color="white" on="f"/>
      <v:stroke color="none [1279]" weight="6pt" on="f"/>
      <v:shadow on="t" color="none [2495]" opacity=".5" offset="6pt,6pt"/>
      <v:textbox style="mso-fit-shape-to-text:t" inset="0,0,0,0"/>
      <o:colormru v:ext="edit" colors="#f2eff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EBE"/>
    <w:rsid w:val="000046C5"/>
    <w:rsid w:val="00020B75"/>
    <w:rsid w:val="00025153"/>
    <w:rsid w:val="00032D92"/>
    <w:rsid w:val="00043393"/>
    <w:rsid w:val="000460F8"/>
    <w:rsid w:val="00047104"/>
    <w:rsid w:val="00047F7F"/>
    <w:rsid w:val="000640B1"/>
    <w:rsid w:val="00064E23"/>
    <w:rsid w:val="00070FAD"/>
    <w:rsid w:val="00087B5C"/>
    <w:rsid w:val="0009289D"/>
    <w:rsid w:val="000A6F99"/>
    <w:rsid w:val="000B29F8"/>
    <w:rsid w:val="000B433E"/>
    <w:rsid w:val="000C4A19"/>
    <w:rsid w:val="000D5B3D"/>
    <w:rsid w:val="000E5835"/>
    <w:rsid w:val="00100487"/>
    <w:rsid w:val="001031AD"/>
    <w:rsid w:val="001063F0"/>
    <w:rsid w:val="001214CE"/>
    <w:rsid w:val="00122642"/>
    <w:rsid w:val="00137DC2"/>
    <w:rsid w:val="00145B15"/>
    <w:rsid w:val="001518CA"/>
    <w:rsid w:val="0015394E"/>
    <w:rsid w:val="001540A6"/>
    <w:rsid w:val="001542C6"/>
    <w:rsid w:val="00156159"/>
    <w:rsid w:val="00163F04"/>
    <w:rsid w:val="00165E05"/>
    <w:rsid w:val="00176AEA"/>
    <w:rsid w:val="0019058A"/>
    <w:rsid w:val="00197481"/>
    <w:rsid w:val="001A1BA7"/>
    <w:rsid w:val="001A4E8C"/>
    <w:rsid w:val="001C01BE"/>
    <w:rsid w:val="001C2694"/>
    <w:rsid w:val="001C56FB"/>
    <w:rsid w:val="001C5CF2"/>
    <w:rsid w:val="001D07D3"/>
    <w:rsid w:val="001D5BB7"/>
    <w:rsid w:val="001F3F4C"/>
    <w:rsid w:val="002126ED"/>
    <w:rsid w:val="00214358"/>
    <w:rsid w:val="00244C0E"/>
    <w:rsid w:val="0025092D"/>
    <w:rsid w:val="00252862"/>
    <w:rsid w:val="00256D93"/>
    <w:rsid w:val="002654E6"/>
    <w:rsid w:val="0027560E"/>
    <w:rsid w:val="00281A6F"/>
    <w:rsid w:val="002835AF"/>
    <w:rsid w:val="002A17AE"/>
    <w:rsid w:val="002A343B"/>
    <w:rsid w:val="002A4AE9"/>
    <w:rsid w:val="002B25E0"/>
    <w:rsid w:val="002B39ED"/>
    <w:rsid w:val="002B5ADD"/>
    <w:rsid w:val="002C29A4"/>
    <w:rsid w:val="002C48F7"/>
    <w:rsid w:val="002D0BF1"/>
    <w:rsid w:val="002D4847"/>
    <w:rsid w:val="002F0AA7"/>
    <w:rsid w:val="003011D9"/>
    <w:rsid w:val="00303833"/>
    <w:rsid w:val="0031374F"/>
    <w:rsid w:val="003208A5"/>
    <w:rsid w:val="00322385"/>
    <w:rsid w:val="00322641"/>
    <w:rsid w:val="003273F8"/>
    <w:rsid w:val="003342A1"/>
    <w:rsid w:val="00340595"/>
    <w:rsid w:val="00342C88"/>
    <w:rsid w:val="00356C76"/>
    <w:rsid w:val="00356EE6"/>
    <w:rsid w:val="003602EE"/>
    <w:rsid w:val="00360386"/>
    <w:rsid w:val="00362082"/>
    <w:rsid w:val="00367328"/>
    <w:rsid w:val="003752C7"/>
    <w:rsid w:val="00381951"/>
    <w:rsid w:val="00382FCA"/>
    <w:rsid w:val="00391039"/>
    <w:rsid w:val="00391D72"/>
    <w:rsid w:val="003961E2"/>
    <w:rsid w:val="003B555B"/>
    <w:rsid w:val="003C3844"/>
    <w:rsid w:val="003D26C9"/>
    <w:rsid w:val="003E75F9"/>
    <w:rsid w:val="004117FF"/>
    <w:rsid w:val="00423C61"/>
    <w:rsid w:val="004365F9"/>
    <w:rsid w:val="00437C31"/>
    <w:rsid w:val="004411EA"/>
    <w:rsid w:val="00442D99"/>
    <w:rsid w:val="00447B61"/>
    <w:rsid w:val="0046346B"/>
    <w:rsid w:val="00464765"/>
    <w:rsid w:val="00466230"/>
    <w:rsid w:val="0046706F"/>
    <w:rsid w:val="00470CB3"/>
    <w:rsid w:val="0047189C"/>
    <w:rsid w:val="00481EBE"/>
    <w:rsid w:val="00484E98"/>
    <w:rsid w:val="004B3D2D"/>
    <w:rsid w:val="004B5809"/>
    <w:rsid w:val="004B6504"/>
    <w:rsid w:val="004B68F2"/>
    <w:rsid w:val="004D1C9F"/>
    <w:rsid w:val="004D4FCC"/>
    <w:rsid w:val="004E5D64"/>
    <w:rsid w:val="004F4FAF"/>
    <w:rsid w:val="00501098"/>
    <w:rsid w:val="00507723"/>
    <w:rsid w:val="00512ED5"/>
    <w:rsid w:val="00516E21"/>
    <w:rsid w:val="0052416B"/>
    <w:rsid w:val="0052722F"/>
    <w:rsid w:val="00533C6D"/>
    <w:rsid w:val="005450F3"/>
    <w:rsid w:val="00551751"/>
    <w:rsid w:val="00555583"/>
    <w:rsid w:val="005564EC"/>
    <w:rsid w:val="005616A7"/>
    <w:rsid w:val="005675CA"/>
    <w:rsid w:val="00567D40"/>
    <w:rsid w:val="005731D6"/>
    <w:rsid w:val="00575F89"/>
    <w:rsid w:val="00593058"/>
    <w:rsid w:val="005975C7"/>
    <w:rsid w:val="005A1FEB"/>
    <w:rsid w:val="005A6A75"/>
    <w:rsid w:val="005B0648"/>
    <w:rsid w:val="005B4A0D"/>
    <w:rsid w:val="005B761F"/>
    <w:rsid w:val="005C02F2"/>
    <w:rsid w:val="005C7DB1"/>
    <w:rsid w:val="005D16AF"/>
    <w:rsid w:val="005D325E"/>
    <w:rsid w:val="005E1E51"/>
    <w:rsid w:val="005E2451"/>
    <w:rsid w:val="005E38A0"/>
    <w:rsid w:val="005F47EE"/>
    <w:rsid w:val="006008D4"/>
    <w:rsid w:val="006020B5"/>
    <w:rsid w:val="00617588"/>
    <w:rsid w:val="00621DEB"/>
    <w:rsid w:val="00627CA8"/>
    <w:rsid w:val="0064123B"/>
    <w:rsid w:val="0064268A"/>
    <w:rsid w:val="00646561"/>
    <w:rsid w:val="006525B0"/>
    <w:rsid w:val="00661552"/>
    <w:rsid w:val="0066158B"/>
    <w:rsid w:val="00661CC6"/>
    <w:rsid w:val="00662C53"/>
    <w:rsid w:val="006732E0"/>
    <w:rsid w:val="0067361F"/>
    <w:rsid w:val="00684BE6"/>
    <w:rsid w:val="00693124"/>
    <w:rsid w:val="00694B8D"/>
    <w:rsid w:val="006B0DC2"/>
    <w:rsid w:val="006B67E2"/>
    <w:rsid w:val="006C4E6C"/>
    <w:rsid w:val="006C7AFB"/>
    <w:rsid w:val="006D4858"/>
    <w:rsid w:val="006E2064"/>
    <w:rsid w:val="006F6A26"/>
    <w:rsid w:val="00710E38"/>
    <w:rsid w:val="0071300C"/>
    <w:rsid w:val="007216A9"/>
    <w:rsid w:val="007275FA"/>
    <w:rsid w:val="00730DEE"/>
    <w:rsid w:val="007340A3"/>
    <w:rsid w:val="0073502D"/>
    <w:rsid w:val="00753867"/>
    <w:rsid w:val="00766AFA"/>
    <w:rsid w:val="007672F3"/>
    <w:rsid w:val="00767F10"/>
    <w:rsid w:val="007703D1"/>
    <w:rsid w:val="00770B10"/>
    <w:rsid w:val="007712AA"/>
    <w:rsid w:val="00771B63"/>
    <w:rsid w:val="007734D9"/>
    <w:rsid w:val="00780271"/>
    <w:rsid w:val="0078576F"/>
    <w:rsid w:val="00792290"/>
    <w:rsid w:val="007959FA"/>
    <w:rsid w:val="007978B0"/>
    <w:rsid w:val="007A3C88"/>
    <w:rsid w:val="007A5469"/>
    <w:rsid w:val="007A65E4"/>
    <w:rsid w:val="007B2F4C"/>
    <w:rsid w:val="007D3374"/>
    <w:rsid w:val="007D352A"/>
    <w:rsid w:val="007D5758"/>
    <w:rsid w:val="007E4487"/>
    <w:rsid w:val="007F1BC7"/>
    <w:rsid w:val="007F3AAD"/>
    <w:rsid w:val="00803A33"/>
    <w:rsid w:val="00806E5A"/>
    <w:rsid w:val="008220AA"/>
    <w:rsid w:val="00823818"/>
    <w:rsid w:val="008247BA"/>
    <w:rsid w:val="008410AB"/>
    <w:rsid w:val="008454C2"/>
    <w:rsid w:val="008461BA"/>
    <w:rsid w:val="00847CB7"/>
    <w:rsid w:val="00856B48"/>
    <w:rsid w:val="0086066D"/>
    <w:rsid w:val="008615E2"/>
    <w:rsid w:val="00862DE8"/>
    <w:rsid w:val="00863869"/>
    <w:rsid w:val="00872CDA"/>
    <w:rsid w:val="0087365E"/>
    <w:rsid w:val="008773A7"/>
    <w:rsid w:val="00884FCD"/>
    <w:rsid w:val="00891B36"/>
    <w:rsid w:val="00892AAD"/>
    <w:rsid w:val="008943D5"/>
    <w:rsid w:val="008A5D1C"/>
    <w:rsid w:val="008A7799"/>
    <w:rsid w:val="008B4AA6"/>
    <w:rsid w:val="008C04C1"/>
    <w:rsid w:val="008C26A3"/>
    <w:rsid w:val="008D0318"/>
    <w:rsid w:val="008D0A26"/>
    <w:rsid w:val="008D2DCA"/>
    <w:rsid w:val="008E5E5F"/>
    <w:rsid w:val="008E72CA"/>
    <w:rsid w:val="008F72F0"/>
    <w:rsid w:val="008F789B"/>
    <w:rsid w:val="00904A85"/>
    <w:rsid w:val="0093699D"/>
    <w:rsid w:val="00942BDB"/>
    <w:rsid w:val="00944E68"/>
    <w:rsid w:val="00945CFC"/>
    <w:rsid w:val="009507E5"/>
    <w:rsid w:val="009513B8"/>
    <w:rsid w:val="0095603F"/>
    <w:rsid w:val="00961B5F"/>
    <w:rsid w:val="00970AD1"/>
    <w:rsid w:val="00971736"/>
    <w:rsid w:val="00973555"/>
    <w:rsid w:val="00983981"/>
    <w:rsid w:val="00983E20"/>
    <w:rsid w:val="00986B20"/>
    <w:rsid w:val="00992FB7"/>
    <w:rsid w:val="00994E75"/>
    <w:rsid w:val="009A1689"/>
    <w:rsid w:val="009A2378"/>
    <w:rsid w:val="009A5078"/>
    <w:rsid w:val="009B13EB"/>
    <w:rsid w:val="009C2FCC"/>
    <w:rsid w:val="009C6915"/>
    <w:rsid w:val="009D11DD"/>
    <w:rsid w:val="009D3752"/>
    <w:rsid w:val="009E1E23"/>
    <w:rsid w:val="009F23B8"/>
    <w:rsid w:val="009F307A"/>
    <w:rsid w:val="009F751E"/>
    <w:rsid w:val="00A04BC3"/>
    <w:rsid w:val="00A11048"/>
    <w:rsid w:val="00A15753"/>
    <w:rsid w:val="00A15D74"/>
    <w:rsid w:val="00A21F04"/>
    <w:rsid w:val="00A22576"/>
    <w:rsid w:val="00A423B3"/>
    <w:rsid w:val="00A44A62"/>
    <w:rsid w:val="00A44E5E"/>
    <w:rsid w:val="00A46C73"/>
    <w:rsid w:val="00A6376E"/>
    <w:rsid w:val="00A73BA8"/>
    <w:rsid w:val="00A757A6"/>
    <w:rsid w:val="00A91BC9"/>
    <w:rsid w:val="00AB0395"/>
    <w:rsid w:val="00AB3C06"/>
    <w:rsid w:val="00AB440A"/>
    <w:rsid w:val="00AB5F8F"/>
    <w:rsid w:val="00AC1FBC"/>
    <w:rsid w:val="00AC4AD8"/>
    <w:rsid w:val="00AC6A8B"/>
    <w:rsid w:val="00AD1EBD"/>
    <w:rsid w:val="00AE0988"/>
    <w:rsid w:val="00AF768C"/>
    <w:rsid w:val="00B00949"/>
    <w:rsid w:val="00B2483D"/>
    <w:rsid w:val="00B25B05"/>
    <w:rsid w:val="00B417E7"/>
    <w:rsid w:val="00B41C51"/>
    <w:rsid w:val="00B42D3E"/>
    <w:rsid w:val="00B51223"/>
    <w:rsid w:val="00B5451A"/>
    <w:rsid w:val="00B569D7"/>
    <w:rsid w:val="00B64E45"/>
    <w:rsid w:val="00B71B65"/>
    <w:rsid w:val="00B75C1B"/>
    <w:rsid w:val="00B83337"/>
    <w:rsid w:val="00B8616A"/>
    <w:rsid w:val="00B86345"/>
    <w:rsid w:val="00BA1E22"/>
    <w:rsid w:val="00BC0F42"/>
    <w:rsid w:val="00BC22DC"/>
    <w:rsid w:val="00BC35CF"/>
    <w:rsid w:val="00BE6022"/>
    <w:rsid w:val="00BE62EB"/>
    <w:rsid w:val="00BF0422"/>
    <w:rsid w:val="00BF37B8"/>
    <w:rsid w:val="00BF37B9"/>
    <w:rsid w:val="00C00A49"/>
    <w:rsid w:val="00C04D8F"/>
    <w:rsid w:val="00C07DD5"/>
    <w:rsid w:val="00C15D98"/>
    <w:rsid w:val="00C25AB8"/>
    <w:rsid w:val="00C27525"/>
    <w:rsid w:val="00C30D45"/>
    <w:rsid w:val="00C34207"/>
    <w:rsid w:val="00C4730A"/>
    <w:rsid w:val="00C556E5"/>
    <w:rsid w:val="00C71710"/>
    <w:rsid w:val="00C735CF"/>
    <w:rsid w:val="00C739D0"/>
    <w:rsid w:val="00C769A1"/>
    <w:rsid w:val="00C955BF"/>
    <w:rsid w:val="00CA2D80"/>
    <w:rsid w:val="00CA356E"/>
    <w:rsid w:val="00CC018A"/>
    <w:rsid w:val="00CE19B8"/>
    <w:rsid w:val="00D06FDD"/>
    <w:rsid w:val="00D11057"/>
    <w:rsid w:val="00D13E33"/>
    <w:rsid w:val="00D16B2E"/>
    <w:rsid w:val="00D3598F"/>
    <w:rsid w:val="00D375C7"/>
    <w:rsid w:val="00D37A43"/>
    <w:rsid w:val="00D42C54"/>
    <w:rsid w:val="00D51672"/>
    <w:rsid w:val="00D62E45"/>
    <w:rsid w:val="00D67E08"/>
    <w:rsid w:val="00D72596"/>
    <w:rsid w:val="00D80B01"/>
    <w:rsid w:val="00D80DF3"/>
    <w:rsid w:val="00D81005"/>
    <w:rsid w:val="00D81012"/>
    <w:rsid w:val="00D821CF"/>
    <w:rsid w:val="00D871F7"/>
    <w:rsid w:val="00D87744"/>
    <w:rsid w:val="00D906C8"/>
    <w:rsid w:val="00D92B89"/>
    <w:rsid w:val="00D94C88"/>
    <w:rsid w:val="00D954CA"/>
    <w:rsid w:val="00D96749"/>
    <w:rsid w:val="00DA03EB"/>
    <w:rsid w:val="00DB09F8"/>
    <w:rsid w:val="00DB27F3"/>
    <w:rsid w:val="00DB2B8A"/>
    <w:rsid w:val="00DB3832"/>
    <w:rsid w:val="00DB3C4C"/>
    <w:rsid w:val="00DC0A33"/>
    <w:rsid w:val="00DC40E4"/>
    <w:rsid w:val="00DC5958"/>
    <w:rsid w:val="00DD0D89"/>
    <w:rsid w:val="00DD2A6D"/>
    <w:rsid w:val="00DD2EB3"/>
    <w:rsid w:val="00DD2FB0"/>
    <w:rsid w:val="00DE1ACF"/>
    <w:rsid w:val="00DE402A"/>
    <w:rsid w:val="00DE4751"/>
    <w:rsid w:val="00DE5D12"/>
    <w:rsid w:val="00DF200C"/>
    <w:rsid w:val="00DF37D6"/>
    <w:rsid w:val="00E012FE"/>
    <w:rsid w:val="00E01C77"/>
    <w:rsid w:val="00E040BC"/>
    <w:rsid w:val="00E27C06"/>
    <w:rsid w:val="00E3113C"/>
    <w:rsid w:val="00E36470"/>
    <w:rsid w:val="00E36484"/>
    <w:rsid w:val="00E3787E"/>
    <w:rsid w:val="00E41E6A"/>
    <w:rsid w:val="00E504CF"/>
    <w:rsid w:val="00E513EB"/>
    <w:rsid w:val="00E54947"/>
    <w:rsid w:val="00E61067"/>
    <w:rsid w:val="00E619F1"/>
    <w:rsid w:val="00E65886"/>
    <w:rsid w:val="00E71009"/>
    <w:rsid w:val="00E766B5"/>
    <w:rsid w:val="00E903F2"/>
    <w:rsid w:val="00E91F78"/>
    <w:rsid w:val="00EB0CDB"/>
    <w:rsid w:val="00EB0FC9"/>
    <w:rsid w:val="00EC66BD"/>
    <w:rsid w:val="00EC6AEB"/>
    <w:rsid w:val="00ED0739"/>
    <w:rsid w:val="00ED1EF1"/>
    <w:rsid w:val="00ED2AD2"/>
    <w:rsid w:val="00ED729E"/>
    <w:rsid w:val="00EE7797"/>
    <w:rsid w:val="00EF6697"/>
    <w:rsid w:val="00EF750B"/>
    <w:rsid w:val="00EF7D7C"/>
    <w:rsid w:val="00F018EF"/>
    <w:rsid w:val="00F02A9C"/>
    <w:rsid w:val="00F10CD1"/>
    <w:rsid w:val="00F10DEE"/>
    <w:rsid w:val="00F124A2"/>
    <w:rsid w:val="00F1447A"/>
    <w:rsid w:val="00F14B14"/>
    <w:rsid w:val="00F20087"/>
    <w:rsid w:val="00F27091"/>
    <w:rsid w:val="00F3136A"/>
    <w:rsid w:val="00F41817"/>
    <w:rsid w:val="00F51F8E"/>
    <w:rsid w:val="00F61111"/>
    <w:rsid w:val="00F63625"/>
    <w:rsid w:val="00F64902"/>
    <w:rsid w:val="00F651A8"/>
    <w:rsid w:val="00F65FC4"/>
    <w:rsid w:val="00F811D2"/>
    <w:rsid w:val="00F8695F"/>
    <w:rsid w:val="00FA2F71"/>
    <w:rsid w:val="00FA5EAA"/>
    <w:rsid w:val="00FA69E5"/>
    <w:rsid w:val="00FC7722"/>
    <w:rsid w:val="00FD1E09"/>
    <w:rsid w:val="00FD522F"/>
    <w:rsid w:val="00FD6152"/>
    <w:rsid w:val="00FF35BD"/>
    <w:rsid w:val="00FF6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position-horizontal-relative:page;mso-position-vertical-relative:page;mso-width-relative:margin;mso-height-relative:margin" o:allowincell="f" fill="f" fillcolor="white" stroke="f" strokecolor="none [1279]">
      <v:fill color="white" on="f"/>
      <v:stroke color="none [1279]" weight="6pt" on="f"/>
      <v:shadow on="t" color="none [2495]" opacity=".5" offset="6pt,6pt"/>
      <v:textbox style="mso-fit-shape-to-text:t" inset="0,0,0,0"/>
      <o:colormru v:ext="edit" colors="#f2eff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0D5B3D"/>
    <w:pPr>
      <w:spacing w:line="288" w:lineRule="auto"/>
    </w:pPr>
    <w:rPr>
      <w:rFonts w:ascii="Verdana" w:hAnsi="Verdana" w:cs="Arial"/>
      <w:bCs/>
      <w:lang w:eastAsia="en-US"/>
    </w:rPr>
  </w:style>
  <w:style w:type="paragraph" w:styleId="Heading1">
    <w:name w:val="heading 1"/>
    <w:basedOn w:val="Normal"/>
    <w:next w:val="Normal"/>
    <w:link w:val="Heading1Char"/>
    <w:rsid w:val="00D81005"/>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3">
    <w:name w:val="heading 3"/>
    <w:basedOn w:val="HSSHeading2"/>
    <w:next w:val="Normal"/>
    <w:rsid w:val="00BC22DC"/>
    <w:pPr>
      <w:outlineLvl w:val="2"/>
    </w:pPr>
  </w:style>
  <w:style w:type="paragraph" w:styleId="Heading4">
    <w:name w:val="heading 4"/>
    <w:basedOn w:val="HSSHeading1"/>
    <w:next w:val="Normal"/>
    <w:rsid w:val="00381951"/>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SSHeading2">
    <w:name w:val="HSS Heading 2"/>
    <w:basedOn w:val="Normal"/>
    <w:qFormat/>
    <w:rsid w:val="007D3374"/>
    <w:pPr>
      <w:spacing w:before="240" w:after="240"/>
    </w:pPr>
    <w:rPr>
      <w:b/>
    </w:rPr>
  </w:style>
  <w:style w:type="paragraph" w:customStyle="1" w:styleId="HSSHeading1">
    <w:name w:val="HSS Heading 1"/>
    <w:basedOn w:val="Normal"/>
    <w:qFormat/>
    <w:rsid w:val="00BF37B9"/>
    <w:pPr>
      <w:jc w:val="center"/>
    </w:pPr>
    <w:rPr>
      <w:b/>
      <w:sz w:val="24"/>
    </w:rPr>
  </w:style>
  <w:style w:type="table" w:styleId="TableGrid">
    <w:name w:val="Table Grid"/>
    <w:basedOn w:val="TableNormal"/>
    <w:uiPriority w:val="59"/>
    <w:rsid w:val="00362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07723"/>
    <w:rPr>
      <w:rFonts w:ascii="Tahoma" w:hAnsi="Tahoma" w:cs="Tahoma"/>
      <w:sz w:val="16"/>
      <w:szCs w:val="16"/>
    </w:rPr>
  </w:style>
  <w:style w:type="paragraph" w:styleId="Header">
    <w:name w:val="header"/>
    <w:basedOn w:val="Normal"/>
    <w:rsid w:val="00BC22DC"/>
    <w:pPr>
      <w:tabs>
        <w:tab w:val="center" w:pos="4320"/>
        <w:tab w:val="right" w:pos="8640"/>
      </w:tabs>
    </w:pPr>
    <w:rPr>
      <w:sz w:val="18"/>
      <w:szCs w:val="18"/>
    </w:rPr>
  </w:style>
  <w:style w:type="paragraph" w:styleId="Footer">
    <w:name w:val="footer"/>
    <w:basedOn w:val="Normal"/>
    <w:rsid w:val="00BC22DC"/>
    <w:pPr>
      <w:tabs>
        <w:tab w:val="center" w:pos="4320"/>
        <w:tab w:val="right" w:pos="8931"/>
      </w:tabs>
    </w:pPr>
    <w:rPr>
      <w:sz w:val="18"/>
      <w:szCs w:val="18"/>
    </w:rPr>
  </w:style>
  <w:style w:type="paragraph" w:customStyle="1" w:styleId="HSSBodytext">
    <w:name w:val="HSS Body text"/>
    <w:qFormat/>
    <w:rsid w:val="00646561"/>
    <w:pPr>
      <w:spacing w:line="288" w:lineRule="auto"/>
    </w:pPr>
    <w:rPr>
      <w:rFonts w:ascii="Verdana" w:hAnsi="Verdana" w:cs="Arial"/>
      <w:bCs/>
      <w:lang w:eastAsia="en-US"/>
    </w:rPr>
  </w:style>
  <w:style w:type="character" w:styleId="Hyperlink">
    <w:name w:val="Hyperlink"/>
    <w:basedOn w:val="DefaultParagraphFont"/>
    <w:rsid w:val="00D871F7"/>
    <w:rPr>
      <w:color w:val="0000FF"/>
      <w:u w:val="single"/>
    </w:rPr>
  </w:style>
  <w:style w:type="character" w:styleId="CommentReference">
    <w:name w:val="annotation reference"/>
    <w:basedOn w:val="DefaultParagraphFont"/>
    <w:semiHidden/>
    <w:rsid w:val="00C15D98"/>
    <w:rPr>
      <w:sz w:val="16"/>
      <w:szCs w:val="16"/>
    </w:rPr>
  </w:style>
  <w:style w:type="paragraph" w:styleId="CommentText">
    <w:name w:val="annotation text"/>
    <w:basedOn w:val="Normal"/>
    <w:semiHidden/>
    <w:rsid w:val="00C15D98"/>
  </w:style>
  <w:style w:type="paragraph" w:styleId="CommentSubject">
    <w:name w:val="annotation subject"/>
    <w:basedOn w:val="CommentText"/>
    <w:next w:val="CommentText"/>
    <w:semiHidden/>
    <w:rsid w:val="00C15D98"/>
    <w:rPr>
      <w:b/>
    </w:rPr>
  </w:style>
  <w:style w:type="character" w:styleId="FollowedHyperlink">
    <w:name w:val="FollowedHyperlink"/>
    <w:basedOn w:val="DefaultParagraphFont"/>
    <w:rsid w:val="00A46C73"/>
    <w:rPr>
      <w:color w:val="800080"/>
      <w:u w:val="single"/>
    </w:rPr>
  </w:style>
  <w:style w:type="paragraph" w:customStyle="1" w:styleId="HSSbulletedlist">
    <w:name w:val="HSS bulleted list"/>
    <w:basedOn w:val="Normal"/>
    <w:qFormat/>
    <w:rsid w:val="00646561"/>
    <w:pPr>
      <w:numPr>
        <w:numId w:val="2"/>
      </w:numPr>
      <w:spacing w:before="120" w:after="120"/>
    </w:pPr>
  </w:style>
  <w:style w:type="paragraph" w:customStyle="1" w:styleId="HSSNumberedlist">
    <w:name w:val="HSS Numbered list"/>
    <w:basedOn w:val="Normal"/>
    <w:qFormat/>
    <w:rsid w:val="00646561"/>
    <w:pPr>
      <w:numPr>
        <w:numId w:val="1"/>
      </w:numPr>
      <w:spacing w:before="360" w:after="360"/>
      <w:ind w:left="714" w:hanging="357"/>
    </w:pPr>
  </w:style>
  <w:style w:type="paragraph" w:customStyle="1" w:styleId="HSSBodyTextbold">
    <w:name w:val="HSS Body Text bold"/>
    <w:basedOn w:val="HSSBodytext"/>
    <w:rsid w:val="00367328"/>
    <w:rPr>
      <w:b/>
    </w:rPr>
  </w:style>
  <w:style w:type="paragraph" w:customStyle="1" w:styleId="HSSBodytextBold0">
    <w:name w:val="HSS Body text Bold"/>
    <w:basedOn w:val="HSSBodytext"/>
    <w:qFormat/>
    <w:rsid w:val="00367328"/>
    <w:rPr>
      <w:b/>
    </w:rPr>
  </w:style>
  <w:style w:type="paragraph" w:customStyle="1" w:styleId="Default">
    <w:name w:val="Default"/>
    <w:basedOn w:val="HSSBodytext"/>
    <w:rsid w:val="000D5B3D"/>
  </w:style>
  <w:style w:type="paragraph" w:customStyle="1" w:styleId="HSSletteredlist">
    <w:name w:val="HSS lettered list"/>
    <w:basedOn w:val="HSSbulletedlist"/>
    <w:qFormat/>
    <w:rsid w:val="00DB2B8A"/>
    <w:pPr>
      <w:numPr>
        <w:numId w:val="13"/>
      </w:numPr>
      <w:ind w:left="1021" w:hanging="301"/>
    </w:pPr>
  </w:style>
  <w:style w:type="character" w:customStyle="1" w:styleId="Heading1Char">
    <w:name w:val="Heading 1 Char"/>
    <w:basedOn w:val="DefaultParagraphFont"/>
    <w:link w:val="Heading1"/>
    <w:rsid w:val="00D81005"/>
    <w:rPr>
      <w:rFonts w:asciiTheme="majorHAnsi" w:eastAsiaTheme="majorEastAsia" w:hAnsiTheme="majorHAnsi" w:cstheme="majorBidi"/>
      <w:b/>
      <w:color w:val="365F91" w:themeColor="accent1" w:themeShade="BF"/>
      <w:sz w:val="28"/>
      <w:szCs w:val="28"/>
      <w:lang w:eastAsia="en-US"/>
    </w:rPr>
  </w:style>
  <w:style w:type="character" w:styleId="Strong">
    <w:name w:val="Strong"/>
    <w:basedOn w:val="DefaultParagraphFont"/>
    <w:rsid w:val="00D81005"/>
    <w:rPr>
      <w:b/>
      <w:bCs/>
    </w:rPr>
  </w:style>
  <w:style w:type="paragraph" w:styleId="ListParagraph">
    <w:name w:val="List Paragraph"/>
    <w:basedOn w:val="Normal"/>
    <w:uiPriority w:val="34"/>
    <w:qFormat/>
    <w:rsid w:val="001063F0"/>
    <w:pPr>
      <w:spacing w:after="200" w:line="276" w:lineRule="auto"/>
      <w:ind w:left="720"/>
      <w:contextualSpacing/>
    </w:pPr>
    <w:rPr>
      <w:rFonts w:asciiTheme="minorHAnsi" w:eastAsiaTheme="minorHAnsi" w:hAnsiTheme="minorHAnsi" w:cstheme="minorBidi"/>
      <w:bCs w:val="0"/>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0D5B3D"/>
    <w:pPr>
      <w:spacing w:line="288" w:lineRule="auto"/>
    </w:pPr>
    <w:rPr>
      <w:rFonts w:ascii="Verdana" w:hAnsi="Verdana" w:cs="Arial"/>
      <w:bCs/>
      <w:lang w:eastAsia="en-US"/>
    </w:rPr>
  </w:style>
  <w:style w:type="paragraph" w:styleId="Heading1">
    <w:name w:val="heading 1"/>
    <w:basedOn w:val="Normal"/>
    <w:next w:val="Normal"/>
    <w:link w:val="Heading1Char"/>
    <w:rsid w:val="00D81005"/>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3">
    <w:name w:val="heading 3"/>
    <w:basedOn w:val="HSSHeading2"/>
    <w:next w:val="Normal"/>
    <w:rsid w:val="00BC22DC"/>
    <w:pPr>
      <w:outlineLvl w:val="2"/>
    </w:pPr>
  </w:style>
  <w:style w:type="paragraph" w:styleId="Heading4">
    <w:name w:val="heading 4"/>
    <w:basedOn w:val="HSSHeading1"/>
    <w:next w:val="Normal"/>
    <w:rsid w:val="00381951"/>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SSHeading2">
    <w:name w:val="HSS Heading 2"/>
    <w:basedOn w:val="Normal"/>
    <w:qFormat/>
    <w:rsid w:val="007D3374"/>
    <w:pPr>
      <w:spacing w:before="240" w:after="240"/>
    </w:pPr>
    <w:rPr>
      <w:b/>
    </w:rPr>
  </w:style>
  <w:style w:type="paragraph" w:customStyle="1" w:styleId="HSSHeading1">
    <w:name w:val="HSS Heading 1"/>
    <w:basedOn w:val="Normal"/>
    <w:qFormat/>
    <w:rsid w:val="00BF37B9"/>
    <w:pPr>
      <w:jc w:val="center"/>
    </w:pPr>
    <w:rPr>
      <w:b/>
      <w:sz w:val="24"/>
    </w:rPr>
  </w:style>
  <w:style w:type="table" w:styleId="TableGrid">
    <w:name w:val="Table Grid"/>
    <w:basedOn w:val="TableNormal"/>
    <w:uiPriority w:val="59"/>
    <w:rsid w:val="00362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07723"/>
    <w:rPr>
      <w:rFonts w:ascii="Tahoma" w:hAnsi="Tahoma" w:cs="Tahoma"/>
      <w:sz w:val="16"/>
      <w:szCs w:val="16"/>
    </w:rPr>
  </w:style>
  <w:style w:type="paragraph" w:styleId="Header">
    <w:name w:val="header"/>
    <w:basedOn w:val="Normal"/>
    <w:rsid w:val="00BC22DC"/>
    <w:pPr>
      <w:tabs>
        <w:tab w:val="center" w:pos="4320"/>
        <w:tab w:val="right" w:pos="8640"/>
      </w:tabs>
    </w:pPr>
    <w:rPr>
      <w:sz w:val="18"/>
      <w:szCs w:val="18"/>
    </w:rPr>
  </w:style>
  <w:style w:type="paragraph" w:styleId="Footer">
    <w:name w:val="footer"/>
    <w:basedOn w:val="Normal"/>
    <w:rsid w:val="00BC22DC"/>
    <w:pPr>
      <w:tabs>
        <w:tab w:val="center" w:pos="4320"/>
        <w:tab w:val="right" w:pos="8931"/>
      </w:tabs>
    </w:pPr>
    <w:rPr>
      <w:sz w:val="18"/>
      <w:szCs w:val="18"/>
    </w:rPr>
  </w:style>
  <w:style w:type="paragraph" w:customStyle="1" w:styleId="HSSBodytext">
    <w:name w:val="HSS Body text"/>
    <w:qFormat/>
    <w:rsid w:val="00646561"/>
    <w:pPr>
      <w:spacing w:line="288" w:lineRule="auto"/>
    </w:pPr>
    <w:rPr>
      <w:rFonts w:ascii="Verdana" w:hAnsi="Verdana" w:cs="Arial"/>
      <w:bCs/>
      <w:lang w:eastAsia="en-US"/>
    </w:rPr>
  </w:style>
  <w:style w:type="character" w:styleId="Hyperlink">
    <w:name w:val="Hyperlink"/>
    <w:basedOn w:val="DefaultParagraphFont"/>
    <w:rsid w:val="00D871F7"/>
    <w:rPr>
      <w:color w:val="0000FF"/>
      <w:u w:val="single"/>
    </w:rPr>
  </w:style>
  <w:style w:type="character" w:styleId="CommentReference">
    <w:name w:val="annotation reference"/>
    <w:basedOn w:val="DefaultParagraphFont"/>
    <w:semiHidden/>
    <w:rsid w:val="00C15D98"/>
    <w:rPr>
      <w:sz w:val="16"/>
      <w:szCs w:val="16"/>
    </w:rPr>
  </w:style>
  <w:style w:type="paragraph" w:styleId="CommentText">
    <w:name w:val="annotation text"/>
    <w:basedOn w:val="Normal"/>
    <w:semiHidden/>
    <w:rsid w:val="00C15D98"/>
  </w:style>
  <w:style w:type="paragraph" w:styleId="CommentSubject">
    <w:name w:val="annotation subject"/>
    <w:basedOn w:val="CommentText"/>
    <w:next w:val="CommentText"/>
    <w:semiHidden/>
    <w:rsid w:val="00C15D98"/>
    <w:rPr>
      <w:b/>
    </w:rPr>
  </w:style>
  <w:style w:type="character" w:styleId="FollowedHyperlink">
    <w:name w:val="FollowedHyperlink"/>
    <w:basedOn w:val="DefaultParagraphFont"/>
    <w:rsid w:val="00A46C73"/>
    <w:rPr>
      <w:color w:val="800080"/>
      <w:u w:val="single"/>
    </w:rPr>
  </w:style>
  <w:style w:type="paragraph" w:customStyle="1" w:styleId="HSSbulletedlist">
    <w:name w:val="HSS bulleted list"/>
    <w:basedOn w:val="Normal"/>
    <w:qFormat/>
    <w:rsid w:val="00646561"/>
    <w:pPr>
      <w:numPr>
        <w:numId w:val="2"/>
      </w:numPr>
      <w:spacing w:before="120" w:after="120"/>
    </w:pPr>
  </w:style>
  <w:style w:type="paragraph" w:customStyle="1" w:styleId="HSSNumberedlist">
    <w:name w:val="HSS Numbered list"/>
    <w:basedOn w:val="Normal"/>
    <w:qFormat/>
    <w:rsid w:val="00646561"/>
    <w:pPr>
      <w:numPr>
        <w:numId w:val="1"/>
      </w:numPr>
      <w:spacing w:before="360" w:after="360"/>
      <w:ind w:left="714" w:hanging="357"/>
    </w:pPr>
  </w:style>
  <w:style w:type="paragraph" w:customStyle="1" w:styleId="HSSBodyTextbold">
    <w:name w:val="HSS Body Text bold"/>
    <w:basedOn w:val="HSSBodytext"/>
    <w:rsid w:val="00367328"/>
    <w:rPr>
      <w:b/>
    </w:rPr>
  </w:style>
  <w:style w:type="paragraph" w:customStyle="1" w:styleId="HSSBodytextBold0">
    <w:name w:val="HSS Body text Bold"/>
    <w:basedOn w:val="HSSBodytext"/>
    <w:qFormat/>
    <w:rsid w:val="00367328"/>
    <w:rPr>
      <w:b/>
    </w:rPr>
  </w:style>
  <w:style w:type="paragraph" w:customStyle="1" w:styleId="Default">
    <w:name w:val="Default"/>
    <w:basedOn w:val="HSSBodytext"/>
    <w:rsid w:val="000D5B3D"/>
  </w:style>
  <w:style w:type="paragraph" w:customStyle="1" w:styleId="HSSletteredlist">
    <w:name w:val="HSS lettered list"/>
    <w:basedOn w:val="HSSbulletedlist"/>
    <w:qFormat/>
    <w:rsid w:val="00DB2B8A"/>
    <w:pPr>
      <w:numPr>
        <w:numId w:val="13"/>
      </w:numPr>
      <w:ind w:left="1021" w:hanging="301"/>
    </w:pPr>
  </w:style>
  <w:style w:type="character" w:customStyle="1" w:styleId="Heading1Char">
    <w:name w:val="Heading 1 Char"/>
    <w:basedOn w:val="DefaultParagraphFont"/>
    <w:link w:val="Heading1"/>
    <w:rsid w:val="00D81005"/>
    <w:rPr>
      <w:rFonts w:asciiTheme="majorHAnsi" w:eastAsiaTheme="majorEastAsia" w:hAnsiTheme="majorHAnsi" w:cstheme="majorBidi"/>
      <w:b/>
      <w:color w:val="365F91" w:themeColor="accent1" w:themeShade="BF"/>
      <w:sz w:val="28"/>
      <w:szCs w:val="28"/>
      <w:lang w:eastAsia="en-US"/>
    </w:rPr>
  </w:style>
  <w:style w:type="character" w:styleId="Strong">
    <w:name w:val="Strong"/>
    <w:basedOn w:val="DefaultParagraphFont"/>
    <w:rsid w:val="00D81005"/>
    <w:rPr>
      <w:b/>
      <w:bCs/>
    </w:rPr>
  </w:style>
  <w:style w:type="paragraph" w:styleId="ListParagraph">
    <w:name w:val="List Paragraph"/>
    <w:basedOn w:val="Normal"/>
    <w:uiPriority w:val="34"/>
    <w:qFormat/>
    <w:rsid w:val="001063F0"/>
    <w:pPr>
      <w:spacing w:after="200" w:line="276" w:lineRule="auto"/>
      <w:ind w:left="720"/>
      <w:contextualSpacing/>
    </w:pPr>
    <w:rPr>
      <w:rFonts w:asciiTheme="minorHAnsi" w:eastAsiaTheme="minorHAnsi" w:hAnsiTheme="minorHAnsi" w:cstheme="minorBidi"/>
      <w:bCs w:val="0"/>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991385">
      <w:bodyDiv w:val="1"/>
      <w:marLeft w:val="0"/>
      <w:marRight w:val="0"/>
      <w:marTop w:val="0"/>
      <w:marBottom w:val="0"/>
      <w:divBdr>
        <w:top w:val="none" w:sz="0" w:space="0" w:color="auto"/>
        <w:left w:val="none" w:sz="0" w:space="0" w:color="auto"/>
        <w:bottom w:val="none" w:sz="0" w:space="0" w:color="auto"/>
        <w:right w:val="none" w:sz="0" w:space="0" w:color="auto"/>
      </w:divBdr>
    </w:div>
    <w:div w:id="132770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ocuments.manchester.ac.uk/DocuInfo.aspx?DocID=12903" TargetMode="External"/><Relationship Id="rId18" Type="http://schemas.openxmlformats.org/officeDocument/2006/relationships/image" Target="media/image2.png"/><Relationship Id="rId26" Type="http://schemas.openxmlformats.org/officeDocument/2006/relationships/image" Target="media/image8.gif"/><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www.healthandsafety.manchester.ac.uk/toolkits/safety_management/" TargetMode="External"/><Relationship Id="rId17" Type="http://schemas.openxmlformats.org/officeDocument/2006/relationships/footer" Target="footer1.xm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4.wmf"/><Relationship Id="rId29"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24" Type="http://schemas.openxmlformats.org/officeDocument/2006/relationships/hyperlink" Target="http://documents.manchester.ac.uk/display.aspx?DocID=12845" TargetMode="External"/><Relationship Id="rId5" Type="http://schemas.openxmlformats.org/officeDocument/2006/relationships/styles" Target="styles.xml"/><Relationship Id="rId15" Type="http://schemas.openxmlformats.org/officeDocument/2006/relationships/hyperlink" Target="http://www.draeger.com/sites/assets/PublishingImages/Products/generic/safety-documents/EN/gaslist-ca-9046375-en.pdf"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wmf"/><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documents.manchester.ac.uk/display.aspx?DocID=12845" TargetMode="External"/><Relationship Id="rId22" Type="http://schemas.openxmlformats.org/officeDocument/2006/relationships/image" Target="media/image6.png"/><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22A60913CDAD43A628BA6D460E8E86" ma:contentTypeVersion="0" ma:contentTypeDescription="Create a new document." ma:contentTypeScope="" ma:versionID="2a6fbd609bc878fe9f480d5907c3883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51848C-5E64-47D8-B5D2-F614024224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23FCFF-D81F-40B6-9090-76D8BFFCC6A8}">
  <ds:schemaRefs>
    <ds:schemaRef ds:uri="http://schemas.microsoft.com/sharepoint/v3/contenttype/forms"/>
  </ds:schemaRefs>
</ds:datastoreItem>
</file>

<file path=customXml/itemProps3.xml><?xml version="1.0" encoding="utf-8"?>
<ds:datastoreItem xmlns:ds="http://schemas.openxmlformats.org/officeDocument/2006/customXml" ds:itemID="{4DF7FC5A-7D0F-436C-80D8-901D0725A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2091</Words>
  <Characters>12153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Safety Services</vt:lpstr>
    </vt:vector>
  </TitlesOfParts>
  <Company>UMIST, ISD</Company>
  <LinksUpToDate>false</LinksUpToDate>
  <CharactersWithSpaces>14216</CharactersWithSpaces>
  <SharedDoc>false</SharedDoc>
  <HLinks>
    <vt:vector size="12" baseType="variant">
      <vt:variant>
        <vt:i4>1310803</vt:i4>
      </vt:variant>
      <vt:variant>
        <vt:i4>3</vt:i4>
      </vt:variant>
      <vt:variant>
        <vt:i4>0</vt:i4>
      </vt:variant>
      <vt:variant>
        <vt:i4>5</vt:i4>
      </vt:variant>
      <vt:variant>
        <vt:lpwstr>http://www.campus.manchester.ac.uk/healthandsafety/CoPs&amp;Guidance.htm</vt:lpwstr>
      </vt:variant>
      <vt:variant>
        <vt:lpwstr/>
      </vt:variant>
      <vt:variant>
        <vt:i4>1310803</vt:i4>
      </vt:variant>
      <vt:variant>
        <vt:i4>0</vt:i4>
      </vt:variant>
      <vt:variant>
        <vt:i4>0</vt:i4>
      </vt:variant>
      <vt:variant>
        <vt:i4>5</vt:i4>
      </vt:variant>
      <vt:variant>
        <vt:lpwstr>http://www.campus.manchester.ac.uk/healthandsafety/CoPs&amp;Guidance.htm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Services</dc:title>
  <dc:creator>Catherine Davidge</dc:creator>
  <cp:lastModifiedBy>Catherine Davidge</cp:lastModifiedBy>
  <cp:revision>3</cp:revision>
  <cp:lastPrinted>2016-06-07T16:31:00Z</cp:lastPrinted>
  <dcterms:created xsi:type="dcterms:W3CDTF">2016-07-15T16:07:00Z</dcterms:created>
  <dcterms:modified xsi:type="dcterms:W3CDTF">2016-07-15T16:10:00Z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0x0101002E22A60913CDAD43A628BA6D460E8E86</vt:lpwstr>
  </property>
</Properties>
</file>