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A19D3" w14:textId="46EA6DBE" w:rsidR="0067263A" w:rsidRDefault="0067263A" w:rsidP="0067263A">
      <w:pPr>
        <w:pStyle w:val="Heading1"/>
        <w:rPr>
          <w:noProof/>
          <w:lang w:val="en-US"/>
        </w:rPr>
      </w:pPr>
      <w:r>
        <w:rPr>
          <w:noProof/>
          <w:lang w:val="en-US"/>
        </w:rPr>
        <w:drawing>
          <wp:anchor distT="0" distB="0" distL="114300" distR="114300" simplePos="0" relativeHeight="251659264" behindDoc="1" locked="0" layoutInCell="1" allowOverlap="1" wp14:anchorId="16022E62" wp14:editId="57F0AB5A">
            <wp:simplePos x="0" y="0"/>
            <wp:positionH relativeFrom="column">
              <wp:posOffset>0</wp:posOffset>
            </wp:positionH>
            <wp:positionV relativeFrom="paragraph">
              <wp:posOffset>-45085</wp:posOffset>
            </wp:positionV>
            <wp:extent cx="1655445" cy="697865"/>
            <wp:effectExtent l="0" t="0" r="0" b="0"/>
            <wp:wrapTight wrapText="bothSides">
              <wp:wrapPolygon edited="0">
                <wp:start x="0" y="0"/>
                <wp:lineTo x="0" y="20440"/>
                <wp:lineTo x="21211" y="20440"/>
                <wp:lineTo x="21211" y="0"/>
                <wp:lineTo x="0" y="0"/>
              </wp:wrapPolygon>
            </wp:wrapTight>
            <wp:docPr id="2" name="Picture 1" descr="Description: G:\Radiation Safety\17_RSU Admin\17D_Templates image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adiation Safety\17_RSU Admin\17D_Templates images\TAB_col_white_backgroun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5445" cy="697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7DA4A5" w14:textId="77777777" w:rsidR="0067263A" w:rsidRDefault="0067263A" w:rsidP="0067263A"/>
    <w:p w14:paraId="0122247D" w14:textId="77777777" w:rsidR="0067263A" w:rsidRPr="004E018F" w:rsidRDefault="0067263A" w:rsidP="0067263A"/>
    <w:p w14:paraId="15DE7B05" w14:textId="77777777" w:rsidR="0067263A" w:rsidRDefault="0067263A" w:rsidP="0067263A">
      <w:pPr>
        <w:tabs>
          <w:tab w:val="clear" w:pos="1418"/>
          <w:tab w:val="left" w:pos="1052"/>
        </w:tabs>
      </w:pPr>
    </w:p>
    <w:tbl>
      <w:tblPr>
        <w:tblW w:w="0" w:type="auto"/>
        <w:tblInd w:w="108" w:type="dxa"/>
        <w:tblLook w:val="04A0" w:firstRow="1" w:lastRow="0" w:firstColumn="1" w:lastColumn="0" w:noHBand="0" w:noVBand="1"/>
      </w:tblPr>
      <w:tblGrid>
        <w:gridCol w:w="11340"/>
        <w:gridCol w:w="3261"/>
      </w:tblGrid>
      <w:tr w:rsidR="0067263A" w14:paraId="26147B12" w14:textId="77777777" w:rsidTr="006F052C">
        <w:trPr>
          <w:trHeight w:val="363"/>
        </w:trPr>
        <w:tc>
          <w:tcPr>
            <w:tcW w:w="11340" w:type="dxa"/>
            <w:shd w:val="clear" w:color="auto" w:fill="auto"/>
          </w:tcPr>
          <w:p w14:paraId="13223DB8" w14:textId="61CD3CD7" w:rsidR="0067263A" w:rsidRPr="004730ED" w:rsidRDefault="0067263A" w:rsidP="006F4586">
            <w:pPr>
              <w:pStyle w:val="Heading1"/>
              <w:spacing w:before="60" w:line="360" w:lineRule="auto"/>
              <w:ind w:left="34"/>
              <w:rPr>
                <w:noProof/>
                <w:lang w:val="en-US"/>
              </w:rPr>
            </w:pPr>
            <w:r>
              <w:t>Risk Assessment for the Use of tritium</w:t>
            </w:r>
          </w:p>
        </w:tc>
        <w:tc>
          <w:tcPr>
            <w:tcW w:w="3261" w:type="dxa"/>
            <w:shd w:val="clear" w:color="auto" w:fill="auto"/>
          </w:tcPr>
          <w:p w14:paraId="23A68517" w14:textId="2E201BE9" w:rsidR="0067263A" w:rsidRDefault="003C1245" w:rsidP="006F052C">
            <w:pPr>
              <w:pStyle w:val="TableColTitleLeft"/>
              <w:rPr>
                <w:highlight w:val="yellow"/>
              </w:rPr>
            </w:pPr>
            <w:r>
              <w:rPr>
                <w:highlight w:val="yellow"/>
              </w:rPr>
              <w:t>Version X.X</w:t>
            </w:r>
          </w:p>
          <w:p w14:paraId="11C7DE3B" w14:textId="3BA52F69" w:rsidR="003C1245" w:rsidRPr="003C1245" w:rsidRDefault="003C1245" w:rsidP="006F052C">
            <w:pPr>
              <w:pStyle w:val="TableColTitleLeft"/>
            </w:pPr>
            <w:r w:rsidRPr="003C1245">
              <w:t>[Template version 3.0]</w:t>
            </w:r>
          </w:p>
          <w:p w14:paraId="7EC6A77E" w14:textId="5CE5F6F6" w:rsidR="0067263A" w:rsidRDefault="00A4483E" w:rsidP="006F052C">
            <w:pPr>
              <w:pStyle w:val="TableColTitleLeft"/>
            </w:pPr>
            <w:r w:rsidRPr="00A4483E">
              <w:rPr>
                <w:highlight w:val="yellow"/>
              </w:rPr>
              <w:t>June</w:t>
            </w:r>
            <w:r w:rsidR="0067263A" w:rsidRPr="00A4483E">
              <w:rPr>
                <w:highlight w:val="yellow"/>
              </w:rPr>
              <w:t xml:space="preserve"> 2020</w:t>
            </w:r>
          </w:p>
        </w:tc>
      </w:tr>
    </w:tbl>
    <w:tbl>
      <w:tblPr>
        <w:tblStyle w:val="TableGrid"/>
        <w:tblW w:w="14601" w:type="dxa"/>
        <w:tblInd w:w="108" w:type="dxa"/>
        <w:tblLook w:val="04A0" w:firstRow="1" w:lastRow="0" w:firstColumn="1" w:lastColumn="0" w:noHBand="0" w:noVBand="1"/>
      </w:tblPr>
      <w:tblGrid>
        <w:gridCol w:w="3750"/>
        <w:gridCol w:w="10851"/>
      </w:tblGrid>
      <w:tr w:rsidR="006F4586" w14:paraId="6F15310F" w14:textId="77777777" w:rsidTr="006F4586">
        <w:tc>
          <w:tcPr>
            <w:tcW w:w="14601" w:type="dxa"/>
            <w:gridSpan w:val="2"/>
            <w:tcBorders>
              <w:top w:val="nil"/>
              <w:left w:val="nil"/>
              <w:right w:val="nil"/>
            </w:tcBorders>
          </w:tcPr>
          <w:p w14:paraId="70AB1A19" w14:textId="193FBF48" w:rsidR="006F4586" w:rsidRPr="006F4586" w:rsidRDefault="006F4586" w:rsidP="006F4586">
            <w:pPr>
              <w:pStyle w:val="Heading3"/>
              <w:outlineLvl w:val="2"/>
            </w:pPr>
            <w:r>
              <w:t>Ionising Radiations Regulations 2017: Regulation 8</w:t>
            </w:r>
          </w:p>
        </w:tc>
      </w:tr>
      <w:tr w:rsidR="00A20963" w14:paraId="4C67B9E7" w14:textId="77777777" w:rsidTr="006F4586">
        <w:tc>
          <w:tcPr>
            <w:tcW w:w="3750" w:type="dxa"/>
          </w:tcPr>
          <w:p w14:paraId="6856A009" w14:textId="7D4012BB" w:rsidR="00A20963" w:rsidRDefault="007B3776" w:rsidP="00C26A18">
            <w:pPr>
              <w:pStyle w:val="TableColTitleLeft"/>
            </w:pPr>
            <w:r>
              <w:t xml:space="preserve"> </w:t>
            </w:r>
            <w:r w:rsidR="00A20963">
              <w:t>Academic unit</w:t>
            </w:r>
          </w:p>
        </w:tc>
        <w:tc>
          <w:tcPr>
            <w:tcW w:w="10851" w:type="dxa"/>
          </w:tcPr>
          <w:p w14:paraId="5E465CEC" w14:textId="77777777" w:rsidR="00A20963" w:rsidRPr="004A3ADE" w:rsidRDefault="00A20963" w:rsidP="00C26A18">
            <w:pPr>
              <w:pStyle w:val="TableColTitleLeft"/>
              <w:rPr>
                <w:highlight w:val="yellow"/>
              </w:rPr>
            </w:pPr>
            <w:r w:rsidRPr="004A3ADE">
              <w:rPr>
                <w:highlight w:val="yellow"/>
              </w:rPr>
              <w:t>Enter your</w:t>
            </w:r>
            <w:r>
              <w:rPr>
                <w:highlight w:val="yellow"/>
              </w:rPr>
              <w:t xml:space="preserve"> School or</w:t>
            </w:r>
            <w:r w:rsidRPr="004A3ADE">
              <w:rPr>
                <w:highlight w:val="yellow"/>
              </w:rPr>
              <w:t xml:space="preserve"> research group or lab</w:t>
            </w:r>
          </w:p>
        </w:tc>
      </w:tr>
      <w:tr w:rsidR="00A20963" w14:paraId="58FCA1E5" w14:textId="77777777" w:rsidTr="006F4586">
        <w:tc>
          <w:tcPr>
            <w:tcW w:w="3750" w:type="dxa"/>
          </w:tcPr>
          <w:p w14:paraId="4253A989" w14:textId="77777777" w:rsidR="00A20963" w:rsidRDefault="00A20963" w:rsidP="00C26A18">
            <w:pPr>
              <w:pStyle w:val="TableColTitleLeft"/>
            </w:pPr>
            <w:r>
              <w:t>Location</w:t>
            </w:r>
          </w:p>
        </w:tc>
        <w:tc>
          <w:tcPr>
            <w:tcW w:w="10851" w:type="dxa"/>
          </w:tcPr>
          <w:p w14:paraId="1E9BC5B6" w14:textId="77777777" w:rsidR="00A20963" w:rsidRDefault="00A20963" w:rsidP="00C26A18">
            <w:pPr>
              <w:pStyle w:val="TableColTitleLeft"/>
            </w:pPr>
            <w:r w:rsidRPr="007B38EC">
              <w:rPr>
                <w:highlight w:val="yellow"/>
              </w:rPr>
              <w:t>Enter room number</w:t>
            </w:r>
            <w:r>
              <w:rPr>
                <w:highlight w:val="yellow"/>
              </w:rPr>
              <w:t>(</w:t>
            </w:r>
            <w:r w:rsidRPr="007B38EC">
              <w:rPr>
                <w:highlight w:val="yellow"/>
              </w:rPr>
              <w:t>s</w:t>
            </w:r>
            <w:r>
              <w:rPr>
                <w:highlight w:val="yellow"/>
              </w:rPr>
              <w:t>)</w:t>
            </w:r>
            <w:r w:rsidRPr="007B38EC">
              <w:rPr>
                <w:highlight w:val="yellow"/>
              </w:rPr>
              <w:t xml:space="preserve"> or name</w:t>
            </w:r>
            <w:r>
              <w:rPr>
                <w:highlight w:val="yellow"/>
              </w:rPr>
              <w:t>(</w:t>
            </w:r>
            <w:r w:rsidRPr="007B38EC">
              <w:rPr>
                <w:highlight w:val="yellow"/>
              </w:rPr>
              <w:t>s</w:t>
            </w:r>
            <w:r>
              <w:t>)</w:t>
            </w:r>
          </w:p>
        </w:tc>
      </w:tr>
      <w:tr w:rsidR="00A20963" w14:paraId="3C601FA1" w14:textId="77777777" w:rsidTr="006F4586">
        <w:tc>
          <w:tcPr>
            <w:tcW w:w="3750" w:type="dxa"/>
            <w:tcBorders>
              <w:bottom w:val="single" w:sz="4" w:space="0" w:color="auto"/>
            </w:tcBorders>
          </w:tcPr>
          <w:p w14:paraId="6EDBB2AB" w14:textId="77777777" w:rsidR="00A20963" w:rsidRDefault="00A20963" w:rsidP="00C26A18">
            <w:pPr>
              <w:pStyle w:val="TableColTitleLeft"/>
            </w:pPr>
            <w:r>
              <w:t>Group leader or lab manager</w:t>
            </w:r>
          </w:p>
        </w:tc>
        <w:tc>
          <w:tcPr>
            <w:tcW w:w="10851" w:type="dxa"/>
            <w:tcBorders>
              <w:bottom w:val="single" w:sz="4" w:space="0" w:color="auto"/>
            </w:tcBorders>
          </w:tcPr>
          <w:p w14:paraId="7D623A36" w14:textId="77777777" w:rsidR="00A20963" w:rsidRDefault="00A20963" w:rsidP="00C26A18">
            <w:pPr>
              <w:pStyle w:val="TableColTitleLeft"/>
            </w:pPr>
            <w:r w:rsidRPr="007B38EC">
              <w:rPr>
                <w:highlight w:val="yellow"/>
              </w:rPr>
              <w:t>Enter name(s)</w:t>
            </w:r>
          </w:p>
        </w:tc>
      </w:tr>
      <w:tr w:rsidR="00A20963" w14:paraId="228BEB05" w14:textId="77777777" w:rsidTr="006F4586">
        <w:tc>
          <w:tcPr>
            <w:tcW w:w="3750" w:type="dxa"/>
            <w:tcBorders>
              <w:left w:val="nil"/>
              <w:bottom w:val="nil"/>
              <w:right w:val="nil"/>
            </w:tcBorders>
          </w:tcPr>
          <w:p w14:paraId="0405FF29" w14:textId="77777777" w:rsidR="00A20963" w:rsidRDefault="00A20963" w:rsidP="008114B5">
            <w:pPr>
              <w:pStyle w:val="TableColTitleLeft"/>
              <w:tabs>
                <w:tab w:val="left" w:pos="3084"/>
              </w:tabs>
              <w:spacing w:before="0" w:after="0"/>
            </w:pPr>
          </w:p>
          <w:p w14:paraId="4EAA40A0" w14:textId="6C33385B" w:rsidR="00687C43" w:rsidRDefault="00687C43" w:rsidP="00A4483E">
            <w:pPr>
              <w:pStyle w:val="TableColTitleLeft"/>
              <w:tabs>
                <w:tab w:val="left" w:pos="3084"/>
              </w:tabs>
              <w:spacing w:before="0" w:after="0"/>
              <w:ind w:left="-108"/>
            </w:pPr>
          </w:p>
        </w:tc>
        <w:tc>
          <w:tcPr>
            <w:tcW w:w="10851" w:type="dxa"/>
            <w:tcBorders>
              <w:left w:val="nil"/>
              <w:bottom w:val="nil"/>
              <w:right w:val="nil"/>
            </w:tcBorders>
          </w:tcPr>
          <w:p w14:paraId="747E0B7F" w14:textId="77777777" w:rsidR="00A20963" w:rsidRDefault="00A20963" w:rsidP="00C26A18">
            <w:pPr>
              <w:pStyle w:val="TableColTitleLeft"/>
            </w:pPr>
          </w:p>
        </w:tc>
      </w:tr>
      <w:tr w:rsidR="00A20963" w14:paraId="30251062" w14:textId="77777777" w:rsidTr="006F4586">
        <w:tc>
          <w:tcPr>
            <w:tcW w:w="14601" w:type="dxa"/>
            <w:gridSpan w:val="2"/>
            <w:tcBorders>
              <w:top w:val="nil"/>
              <w:left w:val="nil"/>
              <w:right w:val="nil"/>
            </w:tcBorders>
          </w:tcPr>
          <w:p w14:paraId="7F2C3487" w14:textId="783A6674" w:rsidR="00687C43" w:rsidRDefault="00687C43" w:rsidP="00A4483E">
            <w:pPr>
              <w:ind w:left="-108"/>
            </w:pPr>
            <w:r>
              <w:t>This risk assessment has been prepared to assess the hazards arising through the use tritium (H</w:t>
            </w:r>
            <w:r>
              <w:rPr>
                <w:vertAlign w:val="superscript"/>
              </w:rPr>
              <w:t>3</w:t>
            </w:r>
            <w:r>
              <w:t>) in life sciences and medical-related research.</w:t>
            </w:r>
          </w:p>
          <w:p w14:paraId="6CC3D73C" w14:textId="33E66CEF" w:rsidR="00A20963" w:rsidRPr="005E2125" w:rsidRDefault="00A20963" w:rsidP="008114B5">
            <w:pPr>
              <w:rPr>
                <w:b/>
              </w:rPr>
            </w:pPr>
          </w:p>
        </w:tc>
      </w:tr>
      <w:tr w:rsidR="008114B5" w14:paraId="41F32CB2" w14:textId="77777777" w:rsidTr="006F4586">
        <w:tc>
          <w:tcPr>
            <w:tcW w:w="14601" w:type="dxa"/>
            <w:gridSpan w:val="2"/>
          </w:tcPr>
          <w:p w14:paraId="662559CE" w14:textId="1B76A2F6" w:rsidR="008114B5" w:rsidRPr="007B38EC" w:rsidRDefault="008114B5" w:rsidP="00C26A18">
            <w:pPr>
              <w:pStyle w:val="TableColTitleLeft"/>
              <w:rPr>
                <w:highlight w:val="yellow"/>
              </w:rPr>
            </w:pPr>
            <w:r w:rsidRPr="003437FC">
              <w:t>Brief outline of projects to which this assessment relates</w:t>
            </w:r>
          </w:p>
        </w:tc>
      </w:tr>
      <w:tr w:rsidR="008114B5" w14:paraId="3A8DB04A" w14:textId="77777777" w:rsidTr="006F4586">
        <w:tc>
          <w:tcPr>
            <w:tcW w:w="14601" w:type="dxa"/>
            <w:gridSpan w:val="2"/>
            <w:tcBorders>
              <w:bottom w:val="single" w:sz="4" w:space="0" w:color="auto"/>
            </w:tcBorders>
          </w:tcPr>
          <w:p w14:paraId="3DFD5409" w14:textId="41B59946" w:rsidR="008114B5" w:rsidRPr="007B38EC" w:rsidRDefault="008114B5" w:rsidP="008114B5">
            <w:pPr>
              <w:pStyle w:val="Number"/>
              <w:rPr>
                <w:highlight w:val="yellow"/>
              </w:rPr>
            </w:pPr>
            <w:r>
              <w:rPr>
                <w:highlight w:val="yellow"/>
              </w:rPr>
              <w:t>In two or three lines give a precis of the project</w:t>
            </w:r>
          </w:p>
        </w:tc>
      </w:tr>
      <w:tr w:rsidR="006F4586" w14:paraId="132B5AE7" w14:textId="77777777" w:rsidTr="006F4586">
        <w:tc>
          <w:tcPr>
            <w:tcW w:w="14601" w:type="dxa"/>
            <w:gridSpan w:val="2"/>
            <w:tcBorders>
              <w:left w:val="nil"/>
              <w:bottom w:val="nil"/>
              <w:right w:val="nil"/>
            </w:tcBorders>
          </w:tcPr>
          <w:p w14:paraId="0838081A" w14:textId="77777777" w:rsidR="006F4586" w:rsidRDefault="006F4586" w:rsidP="006F4586"/>
          <w:p w14:paraId="46C4D54F" w14:textId="77777777" w:rsidR="006F4586" w:rsidRDefault="006F4586" w:rsidP="006F4586">
            <w:r>
              <w:t>This risk assessment is specifically written for laboratory research workers, who must understand and appreciate the content. If the reader does not fully understand the purpose and content they should ask the laboratory manager, their PI, the Radiation Protection Supervisor (RPS).</w:t>
            </w:r>
          </w:p>
          <w:p w14:paraId="35C9A0D2" w14:textId="77777777" w:rsidR="006F4586" w:rsidRDefault="006F4586" w:rsidP="006F4586">
            <w:pPr>
              <w:pStyle w:val="Number"/>
              <w:numPr>
                <w:ilvl w:val="0"/>
                <w:numId w:val="0"/>
              </w:numPr>
              <w:ind w:left="567" w:hanging="567"/>
              <w:rPr>
                <w:highlight w:val="yellow"/>
              </w:rPr>
            </w:pPr>
          </w:p>
        </w:tc>
      </w:tr>
    </w:tbl>
    <w:p w14:paraId="14423872" w14:textId="77777777" w:rsidR="006F4586" w:rsidRDefault="006F4586" w:rsidP="006F4586">
      <w:pPr>
        <w:ind w:left="-108"/>
      </w:pPr>
    </w:p>
    <w:p w14:paraId="4B7C1799" w14:textId="77777777" w:rsidR="006F4586" w:rsidRDefault="006F4586" w:rsidP="006F4586">
      <w:pPr>
        <w:ind w:left="-108"/>
      </w:pPr>
    </w:p>
    <w:p w14:paraId="72A22C89" w14:textId="77777777" w:rsidR="006F4586" w:rsidRDefault="006F4586" w:rsidP="006F4586">
      <w:pPr>
        <w:ind w:left="-108"/>
      </w:pPr>
    </w:p>
    <w:p w14:paraId="52936972" w14:textId="77777777" w:rsidR="006F4586" w:rsidRDefault="006F4586" w:rsidP="006F4586">
      <w:pPr>
        <w:ind w:left="-108"/>
      </w:pPr>
    </w:p>
    <w:p w14:paraId="7C4126FB" w14:textId="77777777" w:rsidR="006F4586" w:rsidRDefault="006F4586" w:rsidP="006F4586">
      <w:pPr>
        <w:ind w:left="-108"/>
      </w:pPr>
    </w:p>
    <w:p w14:paraId="6A8172F4" w14:textId="77777777" w:rsidR="006F4586" w:rsidRDefault="006F4586" w:rsidP="006F4586">
      <w:pPr>
        <w:ind w:left="-108"/>
      </w:pPr>
    </w:p>
    <w:p w14:paraId="0323D994" w14:textId="77777777" w:rsidR="006F4586" w:rsidRDefault="006F4586" w:rsidP="006F4586">
      <w:pPr>
        <w:ind w:left="-108"/>
      </w:pPr>
    </w:p>
    <w:p w14:paraId="17B5CFAC" w14:textId="77777777" w:rsidR="006F4586" w:rsidRDefault="006F4586"/>
    <w:tbl>
      <w:tblPr>
        <w:tblStyle w:val="TableGrid"/>
        <w:tblW w:w="14742" w:type="dxa"/>
        <w:tblInd w:w="108" w:type="dxa"/>
        <w:tblLook w:val="04A0" w:firstRow="1" w:lastRow="0" w:firstColumn="1" w:lastColumn="0" w:noHBand="0" w:noVBand="1"/>
      </w:tblPr>
      <w:tblGrid>
        <w:gridCol w:w="3750"/>
        <w:gridCol w:w="10992"/>
      </w:tblGrid>
      <w:tr w:rsidR="00A4483E" w14:paraId="7C37CBE7" w14:textId="77777777" w:rsidTr="006F4586">
        <w:tc>
          <w:tcPr>
            <w:tcW w:w="14742" w:type="dxa"/>
            <w:gridSpan w:val="2"/>
            <w:tcBorders>
              <w:top w:val="nil"/>
              <w:left w:val="nil"/>
              <w:bottom w:val="single" w:sz="4" w:space="0" w:color="auto"/>
              <w:right w:val="nil"/>
            </w:tcBorders>
          </w:tcPr>
          <w:p w14:paraId="72C149C4" w14:textId="48B0C4EA" w:rsidR="00A4483E" w:rsidRPr="005E2125" w:rsidRDefault="00A4483E" w:rsidP="003B5AC3">
            <w:pPr>
              <w:rPr>
                <w:b/>
              </w:rPr>
            </w:pPr>
          </w:p>
        </w:tc>
      </w:tr>
      <w:tr w:rsidR="00A4483E" w14:paraId="1833A316" w14:textId="77777777" w:rsidTr="006F4586">
        <w:tc>
          <w:tcPr>
            <w:tcW w:w="3750" w:type="dxa"/>
            <w:tcBorders>
              <w:top w:val="single" w:sz="4" w:space="0" w:color="auto"/>
            </w:tcBorders>
          </w:tcPr>
          <w:p w14:paraId="039645BF" w14:textId="77777777" w:rsidR="00A4483E" w:rsidRDefault="00A4483E" w:rsidP="003B5AC3">
            <w:pPr>
              <w:pStyle w:val="TableColTitleLeft"/>
            </w:pPr>
            <w:r>
              <w:t>Principle Investigator</w:t>
            </w:r>
          </w:p>
        </w:tc>
        <w:tc>
          <w:tcPr>
            <w:tcW w:w="10992" w:type="dxa"/>
            <w:tcBorders>
              <w:top w:val="single" w:sz="4" w:space="0" w:color="auto"/>
            </w:tcBorders>
          </w:tcPr>
          <w:p w14:paraId="36FE685C" w14:textId="77777777" w:rsidR="00A4483E" w:rsidRDefault="00A4483E" w:rsidP="003B5AC3">
            <w:pPr>
              <w:pStyle w:val="TableColTitleLeft"/>
            </w:pPr>
            <w:r w:rsidRPr="007B38EC">
              <w:rPr>
                <w:highlight w:val="yellow"/>
              </w:rPr>
              <w:t>Enter name</w:t>
            </w:r>
          </w:p>
          <w:p w14:paraId="58F65F32" w14:textId="77777777" w:rsidR="00A4483E" w:rsidRDefault="00A4483E" w:rsidP="003B5AC3">
            <w:pPr>
              <w:pStyle w:val="TableColTitleLeft"/>
            </w:pPr>
          </w:p>
          <w:p w14:paraId="7EAEEFD4" w14:textId="77777777" w:rsidR="00A4483E" w:rsidRPr="007B38EC" w:rsidRDefault="00A4483E" w:rsidP="003B5AC3">
            <w:pPr>
              <w:pStyle w:val="TableColTitleLeft"/>
              <w:rPr>
                <w:i/>
              </w:rPr>
            </w:pPr>
            <w:proofErr w:type="gramStart"/>
            <w:r w:rsidRPr="007B38EC">
              <w:rPr>
                <w:i/>
                <w:highlight w:val="yellow"/>
              </w:rPr>
              <w:t>sign</w:t>
            </w:r>
            <w:proofErr w:type="gramEnd"/>
          </w:p>
        </w:tc>
      </w:tr>
      <w:tr w:rsidR="00A4483E" w14:paraId="58E4E648" w14:textId="77777777" w:rsidTr="00A4483E">
        <w:tc>
          <w:tcPr>
            <w:tcW w:w="3750" w:type="dxa"/>
          </w:tcPr>
          <w:p w14:paraId="10043B44" w14:textId="77777777" w:rsidR="00A4483E" w:rsidRDefault="00A4483E" w:rsidP="003B5AC3">
            <w:pPr>
              <w:pStyle w:val="TableColTitleLeft"/>
            </w:pPr>
            <w:r>
              <w:t>Radiation Protection Supervisor</w:t>
            </w:r>
          </w:p>
        </w:tc>
        <w:tc>
          <w:tcPr>
            <w:tcW w:w="10992" w:type="dxa"/>
          </w:tcPr>
          <w:p w14:paraId="0D6262FE" w14:textId="77777777" w:rsidR="00A4483E" w:rsidRDefault="00A4483E" w:rsidP="003B5AC3">
            <w:pPr>
              <w:pStyle w:val="TableColTitleLeft"/>
            </w:pPr>
            <w:r w:rsidRPr="007B38EC">
              <w:rPr>
                <w:highlight w:val="yellow"/>
              </w:rPr>
              <w:t>Enter name</w:t>
            </w:r>
          </w:p>
          <w:p w14:paraId="127C6219" w14:textId="77777777" w:rsidR="00A4483E" w:rsidRDefault="00A4483E" w:rsidP="003B5AC3">
            <w:pPr>
              <w:pStyle w:val="TableColTitleLeft"/>
            </w:pPr>
          </w:p>
          <w:p w14:paraId="48CC18EC" w14:textId="77777777" w:rsidR="00A4483E" w:rsidRPr="007B38EC" w:rsidRDefault="00A4483E" w:rsidP="003B5AC3">
            <w:pPr>
              <w:pStyle w:val="TableColTitleLeft"/>
              <w:rPr>
                <w:i/>
              </w:rPr>
            </w:pPr>
            <w:proofErr w:type="gramStart"/>
            <w:r w:rsidRPr="007B38EC">
              <w:rPr>
                <w:i/>
                <w:highlight w:val="yellow"/>
              </w:rPr>
              <w:t>sign</w:t>
            </w:r>
            <w:proofErr w:type="gramEnd"/>
          </w:p>
        </w:tc>
      </w:tr>
      <w:tr w:rsidR="00A4483E" w14:paraId="609F4BB2" w14:textId="77777777" w:rsidTr="00A4483E">
        <w:tc>
          <w:tcPr>
            <w:tcW w:w="3750" w:type="dxa"/>
          </w:tcPr>
          <w:p w14:paraId="59A03C0A" w14:textId="16B3302A" w:rsidR="003C1245" w:rsidRDefault="003C1245" w:rsidP="003B5AC3">
            <w:pPr>
              <w:pStyle w:val="TableColTitleLeft"/>
            </w:pPr>
            <w:r>
              <w:t>Head of School</w:t>
            </w:r>
            <w:r w:rsidR="00682A26">
              <w:t xml:space="preserve"> / Unit</w:t>
            </w:r>
          </w:p>
          <w:p w14:paraId="60633C1C" w14:textId="40F38774" w:rsidR="00A4483E" w:rsidRDefault="003C1245" w:rsidP="003B5AC3">
            <w:pPr>
              <w:pStyle w:val="TableColTitleLeft"/>
            </w:pPr>
            <w:r>
              <w:t>(</w:t>
            </w:r>
            <w:proofErr w:type="gramStart"/>
            <w:r>
              <w:t>or</w:t>
            </w:r>
            <w:proofErr w:type="gramEnd"/>
            <w:r>
              <w:t xml:space="preserve"> ‘authorised person’ responsible for Health and Safety)</w:t>
            </w:r>
          </w:p>
        </w:tc>
        <w:tc>
          <w:tcPr>
            <w:tcW w:w="10992" w:type="dxa"/>
          </w:tcPr>
          <w:p w14:paraId="5A05E3D9" w14:textId="77777777" w:rsidR="00A4483E" w:rsidRDefault="00A4483E" w:rsidP="003B5AC3">
            <w:pPr>
              <w:pStyle w:val="TableColTitleLeft"/>
            </w:pPr>
            <w:r w:rsidRPr="007B38EC">
              <w:rPr>
                <w:highlight w:val="yellow"/>
              </w:rPr>
              <w:t>Enter name</w:t>
            </w:r>
          </w:p>
          <w:p w14:paraId="2F02E854" w14:textId="77777777" w:rsidR="00A4483E" w:rsidRDefault="00A4483E" w:rsidP="003B5AC3">
            <w:pPr>
              <w:pStyle w:val="TableColTitleLeft"/>
            </w:pPr>
          </w:p>
          <w:p w14:paraId="1D97B8F5" w14:textId="77777777" w:rsidR="00A4483E" w:rsidRDefault="00A4483E" w:rsidP="003B5AC3">
            <w:pPr>
              <w:pStyle w:val="TableColTitleLeft"/>
            </w:pPr>
            <w:proofErr w:type="gramStart"/>
            <w:r w:rsidRPr="007B38EC">
              <w:rPr>
                <w:i/>
                <w:highlight w:val="yellow"/>
              </w:rPr>
              <w:t>sign</w:t>
            </w:r>
            <w:proofErr w:type="gramEnd"/>
          </w:p>
        </w:tc>
      </w:tr>
      <w:tr w:rsidR="00A4483E" w14:paraId="438E6F00" w14:textId="77777777" w:rsidTr="00A4483E">
        <w:tc>
          <w:tcPr>
            <w:tcW w:w="14742" w:type="dxa"/>
            <w:gridSpan w:val="2"/>
          </w:tcPr>
          <w:p w14:paraId="5A27CA72" w14:textId="77777777" w:rsidR="00A4483E" w:rsidRPr="007B38EC" w:rsidRDefault="00A4483E" w:rsidP="003B5AC3">
            <w:pPr>
              <w:pStyle w:val="TableColTitleLeft"/>
              <w:rPr>
                <w:highlight w:val="yellow"/>
              </w:rPr>
            </w:pPr>
            <w:r w:rsidRPr="003D07CF">
              <w:t>Risk assessment checked by Radiation Safety Unit</w:t>
            </w:r>
          </w:p>
        </w:tc>
      </w:tr>
      <w:tr w:rsidR="00A4483E" w14:paraId="795AFA5D" w14:textId="77777777" w:rsidTr="00A4483E">
        <w:tc>
          <w:tcPr>
            <w:tcW w:w="3750" w:type="dxa"/>
          </w:tcPr>
          <w:p w14:paraId="4A4528F1" w14:textId="77777777" w:rsidR="00A4483E" w:rsidRDefault="00A4483E" w:rsidP="003B5AC3">
            <w:pPr>
              <w:pStyle w:val="TableColTitleLeft"/>
            </w:pPr>
            <w:r w:rsidRPr="003D07CF">
              <w:rPr>
                <w:highlight w:val="yellow"/>
              </w:rPr>
              <w:t>Name</w:t>
            </w:r>
          </w:p>
        </w:tc>
        <w:tc>
          <w:tcPr>
            <w:tcW w:w="10992" w:type="dxa"/>
          </w:tcPr>
          <w:p w14:paraId="5A408C80" w14:textId="77777777" w:rsidR="00A4483E" w:rsidRPr="003D07CF" w:rsidRDefault="00A4483E" w:rsidP="003B5AC3">
            <w:pPr>
              <w:pStyle w:val="TableColTitleLeft"/>
              <w:rPr>
                <w:i/>
                <w:highlight w:val="yellow"/>
              </w:rPr>
            </w:pPr>
            <w:proofErr w:type="gramStart"/>
            <w:r>
              <w:rPr>
                <w:i/>
                <w:highlight w:val="yellow"/>
              </w:rPr>
              <w:t>sign</w:t>
            </w:r>
            <w:proofErr w:type="gramEnd"/>
          </w:p>
        </w:tc>
      </w:tr>
    </w:tbl>
    <w:p w14:paraId="3243C942" w14:textId="77777777" w:rsidR="00A4483E" w:rsidRDefault="00A4483E" w:rsidP="00A4483E">
      <w:pPr>
        <w:pStyle w:val="Heading3"/>
      </w:pPr>
      <w:r>
        <w:t>Caveats</w:t>
      </w:r>
    </w:p>
    <w:p w14:paraId="52676E80" w14:textId="2AB5293F" w:rsidR="00A20963" w:rsidRDefault="00A20963" w:rsidP="00A20963">
      <w:pPr>
        <w:pStyle w:val="ListParagraph"/>
        <w:numPr>
          <w:ilvl w:val="0"/>
          <w:numId w:val="42"/>
        </w:numPr>
      </w:pPr>
      <w:r>
        <w:t>The Research Group to who</w:t>
      </w:r>
      <w:r w:rsidR="00FE2F8B">
        <w:t>m</w:t>
      </w:r>
      <w:bookmarkStart w:id="0" w:name="_GoBack"/>
      <w:bookmarkEnd w:id="0"/>
      <w:r>
        <w:t xml:space="preserve"> this risk assessment applies should ensure it is accurate and covers the extent of their work or has been modified to take account of any changes or risks not identified by the original assessment.</w:t>
      </w:r>
    </w:p>
    <w:p w14:paraId="65070B26" w14:textId="77777777" w:rsidR="00A20963" w:rsidRDefault="00A20963" w:rsidP="00A20963">
      <w:pPr>
        <w:pStyle w:val="ListParagraph"/>
        <w:numPr>
          <w:ilvl w:val="0"/>
          <w:numId w:val="42"/>
        </w:numPr>
      </w:pPr>
      <w:r>
        <w:lastRenderedPageBreak/>
        <w:t>This assessment will need a further statement appending should any of the radioisotopes or their chemical forms be suspected as being volatile or thought to be likely to give rise to volatile states.</w:t>
      </w:r>
    </w:p>
    <w:p w14:paraId="33FC8FC1" w14:textId="77777777" w:rsidR="00C74002" w:rsidRDefault="00C74002" w:rsidP="00C74002">
      <w:pPr>
        <w:pStyle w:val="Heading3"/>
      </w:pPr>
      <w:r>
        <w:t>Persons at risk of exposure</w:t>
      </w:r>
    </w:p>
    <w:p w14:paraId="7B23A5EB" w14:textId="77777777" w:rsidR="00C74002" w:rsidRPr="001960C5" w:rsidRDefault="00C74002" w:rsidP="00C74002">
      <w:pPr>
        <w:pStyle w:val="Heading4"/>
      </w:pPr>
      <w:r>
        <w:t>Laboratory workers</w:t>
      </w:r>
    </w:p>
    <w:p w14:paraId="41C2E4DD" w14:textId="640E5E70" w:rsidR="00C74002" w:rsidRDefault="00C74002" w:rsidP="00A4483E">
      <w:r>
        <w:t xml:space="preserve">The persons most at risk of exposure are </w:t>
      </w:r>
      <w:r w:rsidR="00584378">
        <w:t>radiation workers</w:t>
      </w:r>
      <w:r>
        <w:t xml:space="preserve"> and other laboratory occupants who are </w:t>
      </w:r>
      <w:r w:rsidR="00584378">
        <w:t xml:space="preserve">at </w:t>
      </w:r>
      <w:r>
        <w:t xml:space="preserve">risk to exposure </w:t>
      </w:r>
      <w:r w:rsidR="00A4483E">
        <w:t xml:space="preserve">through </w:t>
      </w:r>
      <w:r w:rsidR="00584378">
        <w:t>the intake of radioactive contamination or uncontrolled releases (e.g. aerosols / vap</w:t>
      </w:r>
      <w:r w:rsidR="00843F9D">
        <w:t>ours, dusts, or spillages)</w:t>
      </w:r>
      <w:r>
        <w:t>.</w:t>
      </w:r>
    </w:p>
    <w:p w14:paraId="6CD2CA2C" w14:textId="77777777" w:rsidR="00C74002" w:rsidRDefault="00C74002" w:rsidP="00C74002">
      <w:pPr>
        <w:pStyle w:val="Heading4"/>
      </w:pPr>
      <w:r>
        <w:t>Cleaners, service engineers, visitors</w:t>
      </w:r>
    </w:p>
    <w:p w14:paraId="6DA2FCA8" w14:textId="0C8B3192" w:rsidR="00542CF0" w:rsidRDefault="00C74002" w:rsidP="00C759DD">
      <w:r w:rsidRPr="001960C5">
        <w:t>Cleaners</w:t>
      </w:r>
      <w:r>
        <w:t xml:space="preserve">, </w:t>
      </w:r>
      <w:r w:rsidR="00584378">
        <w:t xml:space="preserve">plumbers and other maintenance engineers </w:t>
      </w:r>
      <w:r>
        <w:t xml:space="preserve">are at risk </w:t>
      </w:r>
      <w:r w:rsidR="00455E07">
        <w:t>because of the</w:t>
      </w:r>
      <w:r>
        <w:t xml:space="preserve"> potential </w:t>
      </w:r>
      <w:r w:rsidR="00843F9D">
        <w:t xml:space="preserve">for </w:t>
      </w:r>
      <w:r>
        <w:t>contaminat</w:t>
      </w:r>
      <w:r w:rsidR="00584378">
        <w:t>ion of</w:t>
      </w:r>
      <w:r w:rsidR="00455E07">
        <w:t xml:space="preserve"> laboratory fittings, furniture,</w:t>
      </w:r>
      <w:r w:rsidR="00584378">
        <w:t xml:space="preserve"> equipment,</w:t>
      </w:r>
      <w:r w:rsidR="00455E07">
        <w:t xml:space="preserve"> light switches and door handles</w:t>
      </w:r>
      <w:r w:rsidR="00584378">
        <w:t xml:space="preserve"> etc</w:t>
      </w:r>
      <w:r>
        <w:t>.</w:t>
      </w:r>
      <w:r w:rsidR="00584378">
        <w:t xml:space="preserve"> Of particular concern are waste liquids in sinks and the drainage system.</w:t>
      </w:r>
    </w:p>
    <w:p w14:paraId="20C3B0D8" w14:textId="77777777" w:rsidR="00220B82" w:rsidRDefault="00220B82" w:rsidP="00665C97"/>
    <w:tbl>
      <w:tblPr>
        <w:tblStyle w:val="TableGrid"/>
        <w:tblW w:w="14601" w:type="dxa"/>
        <w:tblInd w:w="108" w:type="dxa"/>
        <w:tblBorders>
          <w:insideV w:val="none" w:sz="0" w:space="0" w:color="auto"/>
        </w:tblBorders>
        <w:tblLayout w:type="fixed"/>
        <w:tblLook w:val="04A0" w:firstRow="1" w:lastRow="0" w:firstColumn="1" w:lastColumn="0" w:noHBand="0" w:noVBand="1"/>
      </w:tblPr>
      <w:tblGrid>
        <w:gridCol w:w="2694"/>
        <w:gridCol w:w="2381"/>
        <w:gridCol w:w="2381"/>
        <w:gridCol w:w="2382"/>
        <w:gridCol w:w="2381"/>
        <w:gridCol w:w="2382"/>
      </w:tblGrid>
      <w:tr w:rsidR="00A4483E" w14:paraId="5C9E3D8A" w14:textId="77777777" w:rsidTr="004732F0">
        <w:tc>
          <w:tcPr>
            <w:tcW w:w="2694" w:type="dxa"/>
            <w:tcBorders>
              <w:bottom w:val="single" w:sz="4" w:space="0" w:color="auto"/>
              <w:right w:val="single" w:sz="4" w:space="0" w:color="auto"/>
            </w:tcBorders>
          </w:tcPr>
          <w:p w14:paraId="6C4EA69A" w14:textId="44F43049" w:rsidR="00A4483E" w:rsidRPr="002D1AE3" w:rsidRDefault="00A4483E" w:rsidP="00A4483E">
            <w:pPr>
              <w:pStyle w:val="TableColTitleLeft"/>
            </w:pPr>
            <w:r>
              <w:rPr>
                <w:lang w:eastAsia="en-GB"/>
              </w:rPr>
              <w:t>ACoP Paragraph and requirement</w:t>
            </w:r>
          </w:p>
        </w:tc>
        <w:tc>
          <w:tcPr>
            <w:tcW w:w="11907" w:type="dxa"/>
            <w:gridSpan w:val="5"/>
            <w:tcBorders>
              <w:left w:val="single" w:sz="4" w:space="0" w:color="auto"/>
              <w:bottom w:val="single" w:sz="4" w:space="0" w:color="auto"/>
            </w:tcBorders>
          </w:tcPr>
          <w:p w14:paraId="29E8A211" w14:textId="66ED32A4" w:rsidR="00A4483E" w:rsidRPr="002D1AE3" w:rsidRDefault="00A4483E" w:rsidP="00A4483E">
            <w:pPr>
              <w:pStyle w:val="TableColTitleLeft"/>
            </w:pPr>
            <w:r>
              <w:t>Response</w:t>
            </w:r>
          </w:p>
        </w:tc>
      </w:tr>
      <w:tr w:rsidR="00A4483E" w14:paraId="63243BD6" w14:textId="77777777" w:rsidTr="004732F0">
        <w:tc>
          <w:tcPr>
            <w:tcW w:w="2694" w:type="dxa"/>
            <w:vMerge w:val="restart"/>
            <w:tcBorders>
              <w:right w:val="single" w:sz="4" w:space="0" w:color="auto"/>
            </w:tcBorders>
          </w:tcPr>
          <w:p w14:paraId="0540A60A" w14:textId="77777777" w:rsidR="00A4483E" w:rsidRDefault="00A4483E" w:rsidP="00A4483E">
            <w:pPr>
              <w:pStyle w:val="TableColTitleLeft"/>
              <w:rPr>
                <w:lang w:eastAsia="en-GB"/>
              </w:rPr>
            </w:pPr>
            <w:r>
              <w:rPr>
                <w:lang w:eastAsia="en-GB"/>
              </w:rPr>
              <w:t>70 (a)</w:t>
            </w:r>
          </w:p>
          <w:p w14:paraId="201F2EA2" w14:textId="1C2E7D97" w:rsidR="00A4483E" w:rsidRDefault="00A4483E" w:rsidP="00A4483E">
            <w:pPr>
              <w:pStyle w:val="TableColTitleLeft"/>
            </w:pPr>
            <w:r>
              <w:rPr>
                <w:lang w:eastAsia="en-GB"/>
              </w:rPr>
              <w:t>The source of ionising radiation</w:t>
            </w:r>
          </w:p>
        </w:tc>
        <w:tc>
          <w:tcPr>
            <w:tcW w:w="2381" w:type="dxa"/>
            <w:tcBorders>
              <w:bottom w:val="single" w:sz="4" w:space="0" w:color="auto"/>
              <w:right w:val="single" w:sz="4" w:space="0" w:color="auto"/>
            </w:tcBorders>
          </w:tcPr>
          <w:p w14:paraId="3DABCF65" w14:textId="16F02D48" w:rsidR="00A4483E" w:rsidRDefault="00A4483E" w:rsidP="00A4483E">
            <w:pPr>
              <w:pStyle w:val="TableColTitleLeft"/>
            </w:pPr>
            <w:r>
              <w:t>Radioisotope</w:t>
            </w:r>
          </w:p>
        </w:tc>
        <w:tc>
          <w:tcPr>
            <w:tcW w:w="2381" w:type="dxa"/>
            <w:tcBorders>
              <w:left w:val="single" w:sz="4" w:space="0" w:color="auto"/>
              <w:bottom w:val="single" w:sz="4" w:space="0" w:color="auto"/>
              <w:right w:val="single" w:sz="4" w:space="0" w:color="auto"/>
            </w:tcBorders>
          </w:tcPr>
          <w:p w14:paraId="03401DA0" w14:textId="77777777" w:rsidR="00A4483E" w:rsidRDefault="00A4483E" w:rsidP="00A4483E">
            <w:pPr>
              <w:pStyle w:val="TableColTitleLeft"/>
            </w:pPr>
            <w:proofErr w:type="gramStart"/>
            <w:r>
              <w:t>energy</w:t>
            </w:r>
            <w:proofErr w:type="gramEnd"/>
            <w:r>
              <w:t xml:space="preserve">; </w:t>
            </w:r>
            <w:r>
              <w:br/>
              <w:t>emission</w:t>
            </w:r>
          </w:p>
        </w:tc>
        <w:tc>
          <w:tcPr>
            <w:tcW w:w="2382" w:type="dxa"/>
            <w:tcBorders>
              <w:left w:val="single" w:sz="4" w:space="0" w:color="auto"/>
              <w:bottom w:val="single" w:sz="4" w:space="0" w:color="auto"/>
              <w:right w:val="single" w:sz="4" w:space="0" w:color="auto"/>
            </w:tcBorders>
          </w:tcPr>
          <w:p w14:paraId="4DBD44FD" w14:textId="77777777" w:rsidR="00A4483E" w:rsidRDefault="00A4483E" w:rsidP="00A4483E">
            <w:pPr>
              <w:pStyle w:val="TableColTitleLeft"/>
            </w:pPr>
            <w:proofErr w:type="gramStart"/>
            <w:r>
              <w:t>physical</w:t>
            </w:r>
            <w:proofErr w:type="gramEnd"/>
            <w:r>
              <w:t xml:space="preserve"> half-life</w:t>
            </w:r>
          </w:p>
        </w:tc>
        <w:tc>
          <w:tcPr>
            <w:tcW w:w="2381" w:type="dxa"/>
            <w:tcBorders>
              <w:left w:val="single" w:sz="4" w:space="0" w:color="auto"/>
              <w:bottom w:val="single" w:sz="4" w:space="0" w:color="auto"/>
              <w:right w:val="single" w:sz="4" w:space="0" w:color="auto"/>
            </w:tcBorders>
          </w:tcPr>
          <w:p w14:paraId="710C6AC9" w14:textId="77777777" w:rsidR="00A4483E" w:rsidRDefault="00A4483E" w:rsidP="00A4483E">
            <w:pPr>
              <w:pStyle w:val="TableColTitleLeft"/>
            </w:pPr>
            <w:proofErr w:type="gramStart"/>
            <w:r>
              <w:t>biological</w:t>
            </w:r>
            <w:proofErr w:type="gramEnd"/>
            <w:r>
              <w:t xml:space="preserve"> half-life</w:t>
            </w:r>
          </w:p>
        </w:tc>
        <w:tc>
          <w:tcPr>
            <w:tcW w:w="2382" w:type="dxa"/>
            <w:tcBorders>
              <w:left w:val="single" w:sz="4" w:space="0" w:color="auto"/>
              <w:bottom w:val="single" w:sz="4" w:space="0" w:color="auto"/>
            </w:tcBorders>
          </w:tcPr>
          <w:p w14:paraId="04699FCD" w14:textId="77777777" w:rsidR="00A4483E" w:rsidRDefault="00A4483E" w:rsidP="00A4483E">
            <w:pPr>
              <w:pStyle w:val="TableColTitleLeft"/>
            </w:pPr>
            <w:proofErr w:type="gramStart"/>
            <w:r>
              <w:t>critical</w:t>
            </w:r>
            <w:proofErr w:type="gramEnd"/>
            <w:r>
              <w:t xml:space="preserve"> organs</w:t>
            </w:r>
          </w:p>
        </w:tc>
      </w:tr>
      <w:tr w:rsidR="00A4483E" w14:paraId="60C070A4" w14:textId="77777777" w:rsidTr="004732F0">
        <w:tc>
          <w:tcPr>
            <w:tcW w:w="2694" w:type="dxa"/>
            <w:vMerge/>
            <w:tcBorders>
              <w:right w:val="single" w:sz="4" w:space="0" w:color="auto"/>
            </w:tcBorders>
          </w:tcPr>
          <w:p w14:paraId="08879517" w14:textId="6BC049B9" w:rsidR="00A4483E" w:rsidRPr="008F0DD7" w:rsidRDefault="00A4483E" w:rsidP="00DE10CA">
            <w:pPr>
              <w:pStyle w:val="TableDataLeft"/>
              <w:keepNext w:val="0"/>
              <w:keepLines w:val="0"/>
            </w:pPr>
          </w:p>
        </w:tc>
        <w:tc>
          <w:tcPr>
            <w:tcW w:w="2381" w:type="dxa"/>
            <w:tcBorders>
              <w:bottom w:val="single" w:sz="4" w:space="0" w:color="auto"/>
              <w:right w:val="single" w:sz="4" w:space="0" w:color="auto"/>
            </w:tcBorders>
          </w:tcPr>
          <w:p w14:paraId="00185BB6" w14:textId="4AD9289B" w:rsidR="00A4483E" w:rsidRPr="008F0DD7" w:rsidRDefault="00A4483E" w:rsidP="00DE10CA">
            <w:pPr>
              <w:pStyle w:val="TableDataLeft"/>
              <w:keepNext w:val="0"/>
              <w:keepLines w:val="0"/>
            </w:pPr>
            <w:r>
              <w:rPr>
                <w:vertAlign w:val="superscript"/>
              </w:rPr>
              <w:t>3</w:t>
            </w:r>
            <w:r>
              <w:t>H</w:t>
            </w:r>
          </w:p>
        </w:tc>
        <w:tc>
          <w:tcPr>
            <w:tcW w:w="2381" w:type="dxa"/>
            <w:tcBorders>
              <w:left w:val="single" w:sz="4" w:space="0" w:color="auto"/>
              <w:bottom w:val="single" w:sz="4" w:space="0" w:color="auto"/>
              <w:right w:val="single" w:sz="4" w:space="0" w:color="auto"/>
            </w:tcBorders>
          </w:tcPr>
          <w:p w14:paraId="2992C013" w14:textId="77777777" w:rsidR="00A4483E" w:rsidRDefault="00A4483E" w:rsidP="00DE10CA">
            <w:pPr>
              <w:pStyle w:val="TableDataLeft"/>
              <w:keepNext w:val="0"/>
              <w:keepLines w:val="0"/>
            </w:pPr>
            <w:proofErr w:type="spellStart"/>
            <w:r>
              <w:t>E</w:t>
            </w:r>
            <w:r w:rsidRPr="00560CE3">
              <w:rPr>
                <w:vertAlign w:val="subscript"/>
              </w:rPr>
              <w:t>mean</w:t>
            </w:r>
            <w:proofErr w:type="spellEnd"/>
            <w:r w:rsidRPr="00560CE3">
              <w:rPr>
                <w:vertAlign w:val="subscript"/>
              </w:rPr>
              <w:t xml:space="preserve"> </w:t>
            </w:r>
            <w:r>
              <w:t>= 6 keV;</w:t>
            </w:r>
          </w:p>
          <w:p w14:paraId="4182F5DC" w14:textId="160A70B6" w:rsidR="00A4483E" w:rsidRDefault="00A4483E" w:rsidP="00DE10CA">
            <w:pPr>
              <w:pStyle w:val="TableDataLeft"/>
              <w:keepNext w:val="0"/>
              <w:keepLines w:val="0"/>
            </w:pPr>
            <w:proofErr w:type="spellStart"/>
            <w:r>
              <w:t>E</w:t>
            </w:r>
            <w:r w:rsidRPr="00560CE3">
              <w:rPr>
                <w:vertAlign w:val="subscript"/>
              </w:rPr>
              <w:t>max</w:t>
            </w:r>
            <w:proofErr w:type="spellEnd"/>
            <w:r w:rsidRPr="00560CE3">
              <w:rPr>
                <w:vertAlign w:val="subscript"/>
              </w:rPr>
              <w:t xml:space="preserve"> </w:t>
            </w:r>
            <w:r>
              <w:t xml:space="preserve">= 18.6 KeV </w:t>
            </w:r>
            <w:r>
              <w:br/>
            </w:r>
            <w:r>
              <w:rPr>
                <w:rFonts w:cs="Arial"/>
              </w:rPr>
              <w:t>Emission = β</w:t>
            </w:r>
            <w:r w:rsidRPr="002D1AE3">
              <w:rPr>
                <w:rFonts w:cs="Arial"/>
                <w:vertAlign w:val="superscript"/>
              </w:rPr>
              <w:t>-</w:t>
            </w:r>
          </w:p>
        </w:tc>
        <w:tc>
          <w:tcPr>
            <w:tcW w:w="2382" w:type="dxa"/>
            <w:tcBorders>
              <w:left w:val="single" w:sz="4" w:space="0" w:color="auto"/>
              <w:bottom w:val="single" w:sz="4" w:space="0" w:color="auto"/>
              <w:right w:val="single" w:sz="4" w:space="0" w:color="auto"/>
            </w:tcBorders>
          </w:tcPr>
          <w:p w14:paraId="581EE139" w14:textId="77777777" w:rsidR="00A4483E" w:rsidRDefault="00A4483E" w:rsidP="00DE10CA">
            <w:pPr>
              <w:pStyle w:val="TableDataLeft"/>
              <w:keepNext w:val="0"/>
              <w:keepLines w:val="0"/>
            </w:pPr>
            <w:r>
              <w:t>12.3 y</w:t>
            </w:r>
          </w:p>
        </w:tc>
        <w:tc>
          <w:tcPr>
            <w:tcW w:w="2381" w:type="dxa"/>
            <w:tcBorders>
              <w:left w:val="single" w:sz="4" w:space="0" w:color="auto"/>
              <w:bottom w:val="single" w:sz="4" w:space="0" w:color="auto"/>
              <w:right w:val="single" w:sz="4" w:space="0" w:color="auto"/>
            </w:tcBorders>
          </w:tcPr>
          <w:p w14:paraId="33B32931" w14:textId="77777777" w:rsidR="00A4483E" w:rsidRDefault="00A4483E" w:rsidP="00DE10CA">
            <w:pPr>
              <w:pStyle w:val="TableDataLeft"/>
              <w:keepNext w:val="0"/>
              <w:keepLines w:val="0"/>
            </w:pPr>
            <w:r>
              <w:t>48 days</w:t>
            </w:r>
          </w:p>
        </w:tc>
        <w:tc>
          <w:tcPr>
            <w:tcW w:w="2382" w:type="dxa"/>
            <w:tcBorders>
              <w:left w:val="single" w:sz="4" w:space="0" w:color="auto"/>
              <w:bottom w:val="single" w:sz="4" w:space="0" w:color="auto"/>
            </w:tcBorders>
          </w:tcPr>
          <w:p w14:paraId="7B3FFC56" w14:textId="77777777" w:rsidR="00A4483E" w:rsidRDefault="00A4483E" w:rsidP="00DE10CA">
            <w:pPr>
              <w:pStyle w:val="TableDataLeft"/>
              <w:keepNext w:val="0"/>
              <w:keepLines w:val="0"/>
            </w:pPr>
            <w:r>
              <w:t>Non-specific</w:t>
            </w:r>
          </w:p>
        </w:tc>
      </w:tr>
      <w:tr w:rsidR="00A4483E" w14:paraId="7CB43393" w14:textId="77777777" w:rsidTr="004732F0">
        <w:tc>
          <w:tcPr>
            <w:tcW w:w="2694" w:type="dxa"/>
            <w:vMerge/>
            <w:tcBorders>
              <w:bottom w:val="single" w:sz="4" w:space="0" w:color="auto"/>
              <w:right w:val="single" w:sz="4" w:space="0" w:color="auto"/>
            </w:tcBorders>
          </w:tcPr>
          <w:p w14:paraId="7A6FCA6F" w14:textId="77777777" w:rsidR="00A4483E" w:rsidRDefault="00A4483E" w:rsidP="00A4483E">
            <w:pPr>
              <w:pStyle w:val="TableDataLeft"/>
              <w:keepNext w:val="0"/>
              <w:keepLines w:val="0"/>
            </w:pPr>
          </w:p>
        </w:tc>
        <w:tc>
          <w:tcPr>
            <w:tcW w:w="11907" w:type="dxa"/>
            <w:gridSpan w:val="5"/>
            <w:tcBorders>
              <w:top w:val="single" w:sz="4" w:space="0" w:color="auto"/>
              <w:left w:val="single" w:sz="4" w:space="0" w:color="auto"/>
              <w:bottom w:val="single" w:sz="4" w:space="0" w:color="auto"/>
            </w:tcBorders>
          </w:tcPr>
          <w:p w14:paraId="224CF087" w14:textId="07D2E3C2" w:rsidR="00A4483E" w:rsidRDefault="00A4483E" w:rsidP="00A4483E">
            <w:pPr>
              <w:pStyle w:val="TableDataLeft"/>
              <w:keepNext w:val="0"/>
              <w:keepLines w:val="0"/>
            </w:pPr>
            <w:r>
              <w:t>The energy of the</w:t>
            </w:r>
            <w:r>
              <w:rPr>
                <w:rFonts w:cs="Arial"/>
              </w:rPr>
              <w:t xml:space="preserve"> β</w:t>
            </w:r>
            <w:r w:rsidRPr="002D1AE3">
              <w:rPr>
                <w:vertAlign w:val="superscript"/>
              </w:rPr>
              <w:t>-</w:t>
            </w:r>
            <w:r>
              <w:rPr>
                <w:vertAlign w:val="superscript"/>
              </w:rPr>
              <w:t xml:space="preserve"> </w:t>
            </w:r>
            <w:r>
              <w:t>particles emitted from tritium is too low to present an external radiation risk. However, tritium (</w:t>
            </w:r>
            <w:r>
              <w:rPr>
                <w:vertAlign w:val="superscript"/>
              </w:rPr>
              <w:t>3</w:t>
            </w:r>
            <w:r>
              <w:t xml:space="preserve">H) can present radiological risk if internalised </w:t>
            </w:r>
            <w:r w:rsidRPr="00560CE3">
              <w:rPr>
                <w:i/>
              </w:rPr>
              <w:t>via</w:t>
            </w:r>
            <w:r>
              <w:t xml:space="preserve"> ingestion or inhalation.  </w:t>
            </w:r>
            <w:r>
              <w:br/>
            </w:r>
            <w:r>
              <w:br/>
              <w:t xml:space="preserve">Most </w:t>
            </w:r>
            <w:r>
              <w:rPr>
                <w:vertAlign w:val="superscript"/>
              </w:rPr>
              <w:t>3</w:t>
            </w:r>
            <w:r>
              <w:t xml:space="preserve">H compounds are readily metabolised and excreted, although a small percentage can reside in the body for longer as organically bound tritium. </w:t>
            </w:r>
            <w:r>
              <w:rPr>
                <w:vertAlign w:val="superscript"/>
              </w:rPr>
              <w:t>3</w:t>
            </w:r>
            <w:r>
              <w:t xml:space="preserve">H in aqueous based solution, in water vapour or as an aerosol is readily absorbed through the skin. There is a volatility risk. </w:t>
            </w:r>
          </w:p>
        </w:tc>
      </w:tr>
    </w:tbl>
    <w:p w14:paraId="40783589" w14:textId="77777777" w:rsidR="00A4483E" w:rsidRDefault="00A4483E"/>
    <w:tbl>
      <w:tblPr>
        <w:tblStyle w:val="TableGrid"/>
        <w:tblW w:w="14601" w:type="dxa"/>
        <w:tblInd w:w="108" w:type="dxa"/>
        <w:tblLayout w:type="fixed"/>
        <w:tblLook w:val="04A0" w:firstRow="1" w:lastRow="0" w:firstColumn="1" w:lastColumn="0" w:noHBand="0" w:noVBand="1"/>
      </w:tblPr>
      <w:tblGrid>
        <w:gridCol w:w="2694"/>
        <w:gridCol w:w="5882"/>
        <w:gridCol w:w="6025"/>
      </w:tblGrid>
      <w:tr w:rsidR="00A4483E" w14:paraId="1680ECF3" w14:textId="77777777" w:rsidTr="004732F0">
        <w:trPr>
          <w:trHeight w:val="1309"/>
        </w:trPr>
        <w:tc>
          <w:tcPr>
            <w:tcW w:w="2694" w:type="dxa"/>
            <w:vMerge w:val="restart"/>
            <w:tcBorders>
              <w:bottom w:val="nil"/>
              <w:right w:val="single" w:sz="4" w:space="0" w:color="auto"/>
            </w:tcBorders>
          </w:tcPr>
          <w:p w14:paraId="2BF0D7C6" w14:textId="77777777" w:rsidR="00A4483E" w:rsidRDefault="00A4483E" w:rsidP="00A4483E">
            <w:pPr>
              <w:pStyle w:val="TableColTitleLeft"/>
              <w:rPr>
                <w:lang w:eastAsia="en-GB"/>
              </w:rPr>
            </w:pPr>
            <w:r>
              <w:rPr>
                <w:lang w:eastAsia="en-GB"/>
              </w:rPr>
              <w:lastRenderedPageBreak/>
              <w:t>70 (b)</w:t>
            </w:r>
          </w:p>
          <w:p w14:paraId="3A99FF68" w14:textId="51928BDD" w:rsidR="00A4483E" w:rsidRDefault="00A4483E" w:rsidP="00A4483E">
            <w:pPr>
              <w:pStyle w:val="TableColTitleLeft"/>
              <w:rPr>
                <w:lang w:eastAsia="en-GB"/>
              </w:rPr>
            </w:pPr>
            <w:r>
              <w:rPr>
                <w:lang w:eastAsia="en-GB"/>
              </w:rPr>
              <w:t>Radiation dose rates / routine exposure and worse case scenario</w:t>
            </w:r>
          </w:p>
        </w:tc>
        <w:tc>
          <w:tcPr>
            <w:tcW w:w="11907" w:type="dxa"/>
            <w:gridSpan w:val="2"/>
            <w:tcBorders>
              <w:left w:val="single" w:sz="4" w:space="0" w:color="auto"/>
              <w:bottom w:val="nil"/>
            </w:tcBorders>
          </w:tcPr>
          <w:p w14:paraId="2439966E" w14:textId="77777777" w:rsidR="00A4483E" w:rsidRDefault="00A4483E" w:rsidP="00A4483E">
            <w:pPr>
              <w:pStyle w:val="TableColTitleLeft"/>
              <w:rPr>
                <w:lang w:eastAsia="en-GB"/>
              </w:rPr>
            </w:pPr>
            <w:r>
              <w:rPr>
                <w:lang w:eastAsia="en-GB"/>
              </w:rPr>
              <w:t>External irradiation exposures when working without shielding</w:t>
            </w:r>
          </w:p>
          <w:p w14:paraId="5225FDA8" w14:textId="504CC4D0" w:rsidR="00A4483E" w:rsidRDefault="00A4483E" w:rsidP="002824B0">
            <w:pPr>
              <w:pStyle w:val="TableDataLeft"/>
              <w:rPr>
                <w:lang w:eastAsia="en-GB"/>
              </w:rPr>
            </w:pPr>
            <w:r w:rsidRPr="00A4483E">
              <w:rPr>
                <w:b/>
                <w:lang w:eastAsia="en-GB"/>
              </w:rPr>
              <w:t>When working with1 mCi (37 MBq):</w:t>
            </w:r>
            <w:r>
              <w:t xml:space="preserve"> soft-b</w:t>
            </w:r>
            <w:r w:rsidRPr="007D4432">
              <w:t xml:space="preserve">eta particles having energies </w:t>
            </w:r>
            <w:r>
              <w:t>&lt;</w:t>
            </w:r>
            <w:r w:rsidRPr="007D4432">
              <w:t xml:space="preserve">0.3 MeV </w:t>
            </w:r>
            <w:r>
              <w:t xml:space="preserve">have insufficient energy to penetrate the skin and therefore do not present an external irradiation hazard. The low energy electrons are mitigated by collision reactions (self-absorption) in the solution, vessel / container walls, air, the </w:t>
            </w:r>
            <w:r w:rsidRPr="00096714">
              <w:rPr>
                <w:i/>
              </w:rPr>
              <w:t>stratum corneum</w:t>
            </w:r>
            <w:r w:rsidRPr="007D4432">
              <w:t xml:space="preserve"> (dead outer layer of skin)</w:t>
            </w:r>
            <w:r>
              <w:t>.</w:t>
            </w:r>
          </w:p>
        </w:tc>
      </w:tr>
      <w:tr w:rsidR="00A4483E" w14:paraId="633A1DE8" w14:textId="77777777" w:rsidTr="003C1245">
        <w:tblPrEx>
          <w:tblBorders>
            <w:insideH w:val="none" w:sz="0" w:space="0" w:color="auto"/>
          </w:tblBorders>
        </w:tblPrEx>
        <w:tc>
          <w:tcPr>
            <w:tcW w:w="2694" w:type="dxa"/>
            <w:vMerge/>
            <w:tcBorders>
              <w:top w:val="nil"/>
              <w:bottom w:val="nil"/>
              <w:right w:val="single" w:sz="4" w:space="0" w:color="auto"/>
            </w:tcBorders>
          </w:tcPr>
          <w:p w14:paraId="3CDACE9B" w14:textId="662060D3" w:rsidR="00A4483E" w:rsidRPr="0014169A" w:rsidRDefault="00A4483E" w:rsidP="00665C97">
            <w:pPr>
              <w:pStyle w:val="TableColTitleLeft"/>
              <w:rPr>
                <w:lang w:eastAsia="en-GB"/>
              </w:rPr>
            </w:pPr>
          </w:p>
        </w:tc>
        <w:tc>
          <w:tcPr>
            <w:tcW w:w="11907" w:type="dxa"/>
            <w:gridSpan w:val="2"/>
            <w:tcBorders>
              <w:top w:val="nil"/>
              <w:left w:val="single" w:sz="4" w:space="0" w:color="auto"/>
              <w:bottom w:val="nil"/>
            </w:tcBorders>
          </w:tcPr>
          <w:p w14:paraId="70A49E39" w14:textId="77777777" w:rsidR="00A4483E" w:rsidRDefault="00A4483E" w:rsidP="00665C97">
            <w:pPr>
              <w:pStyle w:val="TableColTitleLeft"/>
              <w:rPr>
                <w:lang w:eastAsia="en-GB"/>
              </w:rPr>
            </w:pPr>
            <w:r>
              <w:rPr>
                <w:lang w:eastAsia="en-GB"/>
              </w:rPr>
              <w:t>Internal irradiation: the ingestion or inhalation of 1 mCi (37 MBq)</w:t>
            </w:r>
          </w:p>
          <w:p w14:paraId="7656E79E" w14:textId="77777777" w:rsidR="00A4483E" w:rsidRDefault="00A4483E" w:rsidP="00A4483E">
            <w:pPr>
              <w:pStyle w:val="TableDataLeft"/>
              <w:rPr>
                <w:lang w:eastAsia="en-GB"/>
              </w:rPr>
            </w:pPr>
            <w:r w:rsidRPr="00503FD4">
              <w:t xml:space="preserve">Current routine assays permitted as routine do not cause the release of </w:t>
            </w:r>
            <w:r w:rsidRPr="00503FD4">
              <w:rPr>
                <w:lang w:eastAsia="en-GB"/>
              </w:rPr>
              <w:t>volatile forms, or the generation of dusts or aerosols, and surface contamination control measures are in place. T</w:t>
            </w:r>
            <w:r>
              <w:rPr>
                <w:lang w:eastAsia="en-GB"/>
              </w:rPr>
              <w:t>hi</w:t>
            </w:r>
            <w:r w:rsidRPr="00503FD4">
              <w:rPr>
                <w:lang w:eastAsia="en-GB"/>
              </w:rPr>
              <w:t>s means that routine exposures should not occur.</w:t>
            </w:r>
          </w:p>
          <w:p w14:paraId="68F39222" w14:textId="36B0D997" w:rsidR="00A4483E" w:rsidRPr="0014169A" w:rsidRDefault="00A4483E" w:rsidP="00A4483E">
            <w:pPr>
              <w:pStyle w:val="TableDataLeft"/>
              <w:rPr>
                <w:lang w:eastAsia="en-GB"/>
              </w:rPr>
            </w:pPr>
            <w:r w:rsidRPr="00503FD4">
              <w:rPr>
                <w:lang w:eastAsia="en-GB"/>
              </w:rPr>
              <w:t xml:space="preserve">However, </w:t>
            </w:r>
            <w:r>
              <w:rPr>
                <w:lang w:eastAsia="en-GB"/>
              </w:rPr>
              <w:t xml:space="preserve">a worse case scenario would be one where a working source of </w:t>
            </w:r>
            <w:r w:rsidRPr="00503FD4">
              <w:rPr>
                <w:lang w:eastAsia="en-GB"/>
              </w:rPr>
              <w:t>1</w:t>
            </w:r>
            <w:r>
              <w:rPr>
                <w:lang w:eastAsia="en-GB"/>
              </w:rPr>
              <w:t>0</w:t>
            </w:r>
            <w:r w:rsidRPr="00503FD4">
              <w:rPr>
                <w:lang w:eastAsia="en-GB"/>
              </w:rPr>
              <w:t> mCi (37</w:t>
            </w:r>
            <w:r>
              <w:rPr>
                <w:lang w:eastAsia="en-GB"/>
              </w:rPr>
              <w:t>0</w:t>
            </w:r>
            <w:r w:rsidRPr="00503FD4">
              <w:rPr>
                <w:lang w:eastAsia="en-GB"/>
              </w:rPr>
              <w:t xml:space="preserve"> MBq) </w:t>
            </w:r>
            <w:r>
              <w:rPr>
                <w:lang w:eastAsia="en-GB"/>
              </w:rPr>
              <w:t xml:space="preserve">was dropped on the floor or spilt across a drip-tray a worker received skin contamination 10% of which was the taken in orally. In such circumstances the doses by ingestion are given below, these would not </w:t>
            </w:r>
            <w:r w:rsidRPr="00503FD4">
              <w:rPr>
                <w:lang w:eastAsia="en-GB"/>
              </w:rPr>
              <w:t>result</w:t>
            </w:r>
            <w:r>
              <w:rPr>
                <w:lang w:eastAsia="en-GB"/>
              </w:rPr>
              <w:t xml:space="preserve"> </w:t>
            </w:r>
            <w:r w:rsidRPr="00503FD4">
              <w:rPr>
                <w:lang w:eastAsia="en-GB"/>
              </w:rPr>
              <w:t xml:space="preserve">in a significant internal effective dose </w:t>
            </w:r>
            <w:r>
              <w:rPr>
                <w:lang w:eastAsia="en-GB"/>
              </w:rPr>
              <w:t>(i.e. &gt;</w:t>
            </w:r>
            <w:r w:rsidRPr="00503FD4">
              <w:rPr>
                <w:lang w:eastAsia="en-GB"/>
              </w:rPr>
              <w:t>1 mSv</w:t>
            </w:r>
            <w:r>
              <w:rPr>
                <w:lang w:eastAsia="en-GB"/>
              </w:rPr>
              <w:t>).</w:t>
            </w:r>
          </w:p>
        </w:tc>
      </w:tr>
      <w:tr w:rsidR="00A4483E" w14:paraId="2C66A485" w14:textId="77777777" w:rsidTr="003C1245">
        <w:tblPrEx>
          <w:tblBorders>
            <w:insideH w:val="none" w:sz="0" w:space="0" w:color="auto"/>
          </w:tblBorders>
        </w:tblPrEx>
        <w:tc>
          <w:tcPr>
            <w:tcW w:w="2694" w:type="dxa"/>
            <w:vMerge/>
            <w:tcBorders>
              <w:top w:val="nil"/>
              <w:bottom w:val="nil"/>
              <w:right w:val="single" w:sz="4" w:space="0" w:color="auto"/>
            </w:tcBorders>
          </w:tcPr>
          <w:p w14:paraId="53CD16F9" w14:textId="1457800A" w:rsidR="00A4483E" w:rsidRDefault="00A4483E" w:rsidP="00665C97">
            <w:pPr>
              <w:pStyle w:val="TableColTitleCentre"/>
            </w:pPr>
          </w:p>
        </w:tc>
        <w:tc>
          <w:tcPr>
            <w:tcW w:w="5882" w:type="dxa"/>
            <w:tcBorders>
              <w:top w:val="nil"/>
              <w:left w:val="single" w:sz="4" w:space="0" w:color="auto"/>
              <w:bottom w:val="nil"/>
              <w:right w:val="nil"/>
            </w:tcBorders>
          </w:tcPr>
          <w:p w14:paraId="07DD6BCE" w14:textId="5F29CA71" w:rsidR="00A4483E" w:rsidRPr="00AE700A" w:rsidRDefault="00A4483E" w:rsidP="00A4483E">
            <w:pPr>
              <w:pStyle w:val="TableColTitleCentre"/>
            </w:pPr>
            <w:r>
              <w:t>Inhalation (mSv)</w:t>
            </w:r>
          </w:p>
        </w:tc>
        <w:tc>
          <w:tcPr>
            <w:tcW w:w="6025" w:type="dxa"/>
            <w:tcBorders>
              <w:top w:val="nil"/>
              <w:left w:val="nil"/>
              <w:bottom w:val="nil"/>
            </w:tcBorders>
          </w:tcPr>
          <w:p w14:paraId="763A0F37" w14:textId="2CCF8E64" w:rsidR="00A4483E" w:rsidRPr="00AE700A" w:rsidRDefault="00A4483E" w:rsidP="00A4483E">
            <w:pPr>
              <w:pStyle w:val="TableColTitleCentre"/>
            </w:pPr>
            <w:r>
              <w:t>Ingestion (mSv)</w:t>
            </w:r>
          </w:p>
        </w:tc>
      </w:tr>
      <w:tr w:rsidR="00A4483E" w14:paraId="0CABA3EF" w14:textId="77777777" w:rsidTr="003C1245">
        <w:tblPrEx>
          <w:tblBorders>
            <w:insideH w:val="none" w:sz="0" w:space="0" w:color="auto"/>
          </w:tblBorders>
        </w:tblPrEx>
        <w:tc>
          <w:tcPr>
            <w:tcW w:w="2694" w:type="dxa"/>
            <w:vMerge/>
            <w:tcBorders>
              <w:top w:val="nil"/>
              <w:bottom w:val="single" w:sz="4" w:space="0" w:color="auto"/>
              <w:right w:val="single" w:sz="4" w:space="0" w:color="auto"/>
            </w:tcBorders>
          </w:tcPr>
          <w:p w14:paraId="6E66D92D" w14:textId="6DEFFC7B" w:rsidR="00A4483E" w:rsidRDefault="00A4483E" w:rsidP="00665C97">
            <w:pPr>
              <w:pStyle w:val="TableDateCentre"/>
              <w:keepNext w:val="0"/>
              <w:keepLines w:val="0"/>
            </w:pPr>
          </w:p>
        </w:tc>
        <w:tc>
          <w:tcPr>
            <w:tcW w:w="5882" w:type="dxa"/>
            <w:tcBorders>
              <w:top w:val="nil"/>
              <w:left w:val="single" w:sz="4" w:space="0" w:color="auto"/>
              <w:bottom w:val="single" w:sz="4" w:space="0" w:color="auto"/>
              <w:right w:val="nil"/>
            </w:tcBorders>
          </w:tcPr>
          <w:p w14:paraId="01E23A8E" w14:textId="2AB5FBF0" w:rsidR="00A4483E" w:rsidRDefault="00A4483E" w:rsidP="00665C97">
            <w:pPr>
              <w:pStyle w:val="TableDateCentre"/>
              <w:keepNext w:val="0"/>
              <w:keepLines w:val="0"/>
            </w:pPr>
            <w:r>
              <w:t>0.67</w:t>
            </w:r>
          </w:p>
        </w:tc>
        <w:tc>
          <w:tcPr>
            <w:tcW w:w="6025" w:type="dxa"/>
            <w:tcBorders>
              <w:top w:val="nil"/>
              <w:left w:val="nil"/>
              <w:bottom w:val="single" w:sz="4" w:space="0" w:color="auto"/>
            </w:tcBorders>
          </w:tcPr>
          <w:p w14:paraId="4984F4AE" w14:textId="4233B8FE" w:rsidR="00A4483E" w:rsidRDefault="00A4483E" w:rsidP="00665C97">
            <w:pPr>
              <w:pStyle w:val="TableDateCentre"/>
              <w:keepNext w:val="0"/>
              <w:keepLines w:val="0"/>
            </w:pPr>
            <w:r>
              <w:t>0.67</w:t>
            </w:r>
          </w:p>
        </w:tc>
      </w:tr>
      <w:tr w:rsidR="004732F0" w14:paraId="3CB38810" w14:textId="77777777" w:rsidTr="004732F0">
        <w:tblPrEx>
          <w:tblBorders>
            <w:insideV w:val="none" w:sz="0" w:space="0" w:color="auto"/>
          </w:tblBorders>
        </w:tblPrEx>
        <w:trPr>
          <w:trHeight w:val="387"/>
        </w:trPr>
        <w:tc>
          <w:tcPr>
            <w:tcW w:w="2694" w:type="dxa"/>
            <w:tcBorders>
              <w:right w:val="single" w:sz="4" w:space="0" w:color="auto"/>
            </w:tcBorders>
          </w:tcPr>
          <w:p w14:paraId="51A3443E" w14:textId="77777777" w:rsidR="004732F0" w:rsidRDefault="004732F0" w:rsidP="003B5AC3">
            <w:pPr>
              <w:pStyle w:val="TableColTitleLeft"/>
              <w:rPr>
                <w:lang w:eastAsia="en-GB"/>
              </w:rPr>
            </w:pPr>
            <w:r>
              <w:rPr>
                <w:lang w:eastAsia="en-GB"/>
              </w:rPr>
              <w:t>71 (f)</w:t>
            </w:r>
          </w:p>
          <w:p w14:paraId="4DFBBDEE" w14:textId="7F7DCD92" w:rsidR="004732F0" w:rsidRDefault="004732F0" w:rsidP="00EA34FA">
            <w:pPr>
              <w:pStyle w:val="TableColTitleLeft"/>
              <w:keepNext/>
              <w:keepLines/>
              <w:rPr>
                <w:lang w:eastAsia="en-GB"/>
              </w:rPr>
            </w:pPr>
            <w:r>
              <w:rPr>
                <w:lang w:eastAsia="en-GB"/>
              </w:rPr>
              <w:t>An appropriate investigation level to check that exposures are being restricted as far as reasonably practicable [dose investigation or other trigger limits]</w:t>
            </w:r>
          </w:p>
        </w:tc>
        <w:tc>
          <w:tcPr>
            <w:tcW w:w="11907" w:type="dxa"/>
            <w:gridSpan w:val="2"/>
            <w:tcBorders>
              <w:left w:val="single" w:sz="4" w:space="0" w:color="auto"/>
            </w:tcBorders>
          </w:tcPr>
          <w:p w14:paraId="18444C15" w14:textId="77777777" w:rsidR="004732F0" w:rsidRDefault="004732F0" w:rsidP="004732F0">
            <w:pPr>
              <w:pStyle w:val="TableDataLeft"/>
              <w:rPr>
                <w:lang w:eastAsia="en-GB"/>
              </w:rPr>
            </w:pPr>
            <w:r>
              <w:rPr>
                <w:lang w:eastAsia="en-GB"/>
              </w:rPr>
              <w:t>The investigation level is a measured or estimated dose of 1 mSv y</w:t>
            </w:r>
            <w:r w:rsidRPr="001B19CE">
              <w:rPr>
                <w:vertAlign w:val="superscript"/>
                <w:lang w:eastAsia="en-GB"/>
              </w:rPr>
              <w:noBreakHyphen/>
              <w:t>1</w:t>
            </w:r>
            <w:r>
              <w:rPr>
                <w:lang w:eastAsia="en-GB"/>
              </w:rPr>
              <w:t xml:space="preserve"> to the whole body and 10 mSv/y to the hands. This could be assessed by the determination of activity on the skin following an accidental spillage, the method of assessment being to estimate the total skin dose across the contaminated area after taking swabs for liquid scintillation counting for </w:t>
            </w:r>
            <w:r>
              <w:rPr>
                <w:vertAlign w:val="superscript"/>
              </w:rPr>
              <w:t>14</w:t>
            </w:r>
            <w:r>
              <w:t>C and beta / scintillation counting for soft beta or gamma emitters. The estimation of dose is described above.</w:t>
            </w:r>
          </w:p>
          <w:p w14:paraId="38735C95" w14:textId="0F2786CB" w:rsidR="004732F0" w:rsidRDefault="004732F0" w:rsidP="004732F0">
            <w:pPr>
              <w:pStyle w:val="TableDataLeft"/>
              <w:rPr>
                <w:lang w:eastAsia="en-GB"/>
              </w:rPr>
            </w:pPr>
            <w:r>
              <w:rPr>
                <w:lang w:eastAsia="en-GB"/>
              </w:rPr>
              <w:t>An investigation would be carried out irrespective of estimated dose under such circumstances and reported on the Accident / Event Database.</w:t>
            </w:r>
          </w:p>
        </w:tc>
      </w:tr>
      <w:tr w:rsidR="004732F0" w14:paraId="03D4D5AF" w14:textId="77777777" w:rsidTr="004732F0">
        <w:tblPrEx>
          <w:tblBorders>
            <w:insideV w:val="none" w:sz="0" w:space="0" w:color="auto"/>
          </w:tblBorders>
        </w:tblPrEx>
        <w:trPr>
          <w:trHeight w:val="380"/>
        </w:trPr>
        <w:tc>
          <w:tcPr>
            <w:tcW w:w="2694" w:type="dxa"/>
            <w:tcBorders>
              <w:right w:val="single" w:sz="4" w:space="0" w:color="auto"/>
            </w:tcBorders>
          </w:tcPr>
          <w:p w14:paraId="7A6ABFF5" w14:textId="77777777" w:rsidR="004732F0" w:rsidRDefault="004732F0" w:rsidP="003B5AC3">
            <w:pPr>
              <w:pStyle w:val="TableColTitleLeft"/>
              <w:keepNext/>
              <w:keepLines/>
              <w:rPr>
                <w:lang w:eastAsia="en-GB"/>
              </w:rPr>
            </w:pPr>
            <w:r>
              <w:rPr>
                <w:lang w:eastAsia="en-GB"/>
              </w:rPr>
              <w:lastRenderedPageBreak/>
              <w:t>71 (c)</w:t>
            </w:r>
          </w:p>
          <w:p w14:paraId="5E54AE45" w14:textId="6C530C44" w:rsidR="004732F0" w:rsidRDefault="004732F0" w:rsidP="00EA34FA">
            <w:pPr>
              <w:pStyle w:val="TableColTitleLeft"/>
              <w:keepNext/>
              <w:keepLines/>
              <w:rPr>
                <w:lang w:eastAsia="en-GB"/>
              </w:rPr>
            </w:pPr>
            <w:r>
              <w:rPr>
                <w:lang w:eastAsia="en-GB"/>
              </w:rPr>
              <w:t>Whether it is appropriate to establish any dose constraints for planning or design purposes and if so, what values will be used (IRR17 regulation 9(2)(c)</w:t>
            </w:r>
          </w:p>
        </w:tc>
        <w:tc>
          <w:tcPr>
            <w:tcW w:w="11907" w:type="dxa"/>
            <w:gridSpan w:val="2"/>
            <w:tcBorders>
              <w:left w:val="single" w:sz="4" w:space="0" w:color="auto"/>
            </w:tcBorders>
          </w:tcPr>
          <w:p w14:paraId="4BA7EA50" w14:textId="490A8D0E" w:rsidR="004732F0" w:rsidRDefault="004732F0" w:rsidP="004732F0">
            <w:pPr>
              <w:pStyle w:val="TableDataLeft"/>
              <w:rPr>
                <w:lang w:eastAsia="en-GB"/>
              </w:rPr>
            </w:pPr>
            <w:r>
              <w:rPr>
                <w:lang w:eastAsia="en-GB"/>
              </w:rPr>
              <w:t>Dose constraints are not appropriate for this work.</w:t>
            </w:r>
          </w:p>
        </w:tc>
      </w:tr>
      <w:tr w:rsidR="004732F0" w14:paraId="4D9A9BF2" w14:textId="77777777" w:rsidTr="004732F0">
        <w:tblPrEx>
          <w:tblBorders>
            <w:insideV w:val="none" w:sz="0" w:space="0" w:color="auto"/>
          </w:tblBorders>
        </w:tblPrEx>
        <w:trPr>
          <w:trHeight w:val="380"/>
        </w:trPr>
        <w:tc>
          <w:tcPr>
            <w:tcW w:w="2694" w:type="dxa"/>
            <w:tcBorders>
              <w:right w:val="single" w:sz="4" w:space="0" w:color="auto"/>
            </w:tcBorders>
          </w:tcPr>
          <w:p w14:paraId="6F5691B0" w14:textId="77777777" w:rsidR="004732F0" w:rsidRDefault="004732F0" w:rsidP="003B5AC3">
            <w:pPr>
              <w:pStyle w:val="TableColTitleLeft"/>
              <w:rPr>
                <w:lang w:eastAsia="en-GB"/>
              </w:rPr>
            </w:pPr>
            <w:r>
              <w:rPr>
                <w:lang w:eastAsia="en-GB"/>
              </w:rPr>
              <w:t>71(j)</w:t>
            </w:r>
          </w:p>
          <w:p w14:paraId="6720008D" w14:textId="77777777" w:rsidR="004732F0" w:rsidRDefault="004732F0" w:rsidP="003B5AC3">
            <w:pPr>
              <w:pStyle w:val="TableColTitleLeft"/>
              <w:rPr>
                <w:lang w:eastAsia="en-GB"/>
              </w:rPr>
            </w:pPr>
            <w:r>
              <w:rPr>
                <w:lang w:eastAsia="en-GB"/>
              </w:rPr>
              <w:t>Designated areas</w:t>
            </w:r>
          </w:p>
          <w:p w14:paraId="38D273A7" w14:textId="51C2058D" w:rsidR="004732F0" w:rsidRDefault="004732F0" w:rsidP="00EA34FA">
            <w:pPr>
              <w:pStyle w:val="TableColTitleLeft"/>
              <w:keepNext/>
              <w:keepLines/>
              <w:rPr>
                <w:lang w:eastAsia="en-GB"/>
              </w:rPr>
            </w:pPr>
            <w:r>
              <w:rPr>
                <w:lang w:eastAsia="en-GB"/>
              </w:rPr>
              <w:t>The need to designate specific areas as controlled or supervised areas and to specify local rules</w:t>
            </w:r>
          </w:p>
        </w:tc>
        <w:tc>
          <w:tcPr>
            <w:tcW w:w="11907" w:type="dxa"/>
            <w:gridSpan w:val="2"/>
            <w:tcBorders>
              <w:left w:val="single" w:sz="4" w:space="0" w:color="auto"/>
            </w:tcBorders>
          </w:tcPr>
          <w:p w14:paraId="1B5BD462" w14:textId="426D8261" w:rsidR="004732F0" w:rsidRDefault="004732F0" w:rsidP="003B5AC3">
            <w:pPr>
              <w:pStyle w:val="TableDataLeft"/>
              <w:keepNext w:val="0"/>
              <w:keepLines w:val="0"/>
              <w:rPr>
                <w:lang w:eastAsia="en-GB"/>
              </w:rPr>
            </w:pPr>
            <w:r>
              <w:rPr>
                <w:lang w:eastAsia="en-GB"/>
              </w:rPr>
              <w:t>Even with repeated accidental exposures it is unlikely that doses in excess of 3/10ths of a dose limit would be received in an orderly laboratory, and local interventions would result in remedial actions including refresher training. However, it is important to set working instructions and keep the working procedures under review so as to minimise doses and keep conditions for controlling the spread of contamination in place and up to date. It is therefore necessary to designate areas in which the se isotopes are used as Supervised Areas.</w:t>
            </w:r>
          </w:p>
          <w:p w14:paraId="17164D27" w14:textId="5C4733BC" w:rsidR="004732F0" w:rsidRDefault="004732F0" w:rsidP="004732F0">
            <w:pPr>
              <w:pStyle w:val="TableDataLeft"/>
              <w:keepNext w:val="0"/>
              <w:keepLines w:val="0"/>
              <w:rPr>
                <w:lang w:eastAsia="en-GB"/>
              </w:rPr>
            </w:pPr>
            <w:r>
              <w:rPr>
                <w:lang w:eastAsia="en-GB"/>
              </w:rPr>
              <w:t>As designated areas, local rules for the safe conduct of work, including contamination monitoring, are necessary. Workstations should be set with Persex</w:t>
            </w:r>
            <w:r>
              <w:rPr>
                <w:rFonts w:cs="Arial"/>
              </w:rPr>
              <w:t>® shields (ideally - to catch droplets), drip-trays and absorbent material (such as Benchcote®) being used.</w:t>
            </w:r>
          </w:p>
        </w:tc>
      </w:tr>
      <w:tr w:rsidR="004732F0" w14:paraId="7FBA276B" w14:textId="77777777" w:rsidTr="004732F0">
        <w:tblPrEx>
          <w:tblBorders>
            <w:insideV w:val="none" w:sz="0" w:space="0" w:color="auto"/>
          </w:tblBorders>
        </w:tblPrEx>
        <w:trPr>
          <w:trHeight w:val="380"/>
        </w:trPr>
        <w:tc>
          <w:tcPr>
            <w:tcW w:w="2694" w:type="dxa"/>
            <w:tcBorders>
              <w:right w:val="single" w:sz="4" w:space="0" w:color="auto"/>
            </w:tcBorders>
          </w:tcPr>
          <w:p w14:paraId="3E34588B" w14:textId="77777777" w:rsidR="004732F0" w:rsidRDefault="004732F0" w:rsidP="003B5AC3">
            <w:pPr>
              <w:pStyle w:val="TableColTitleLeft"/>
              <w:rPr>
                <w:lang w:eastAsia="en-GB"/>
              </w:rPr>
            </w:pPr>
            <w:r>
              <w:rPr>
                <w:lang w:eastAsia="en-GB"/>
              </w:rPr>
              <w:t>71 (k)</w:t>
            </w:r>
          </w:p>
          <w:p w14:paraId="44F795BF" w14:textId="7935A9B4" w:rsidR="004732F0" w:rsidRDefault="004732F0" w:rsidP="00EA34FA">
            <w:pPr>
              <w:pStyle w:val="TableColTitleLeft"/>
              <w:keepNext/>
              <w:keepLines/>
              <w:rPr>
                <w:lang w:eastAsia="en-GB"/>
              </w:rPr>
            </w:pPr>
            <w:r>
              <w:rPr>
                <w:lang w:eastAsia="en-GB"/>
              </w:rPr>
              <w:t>The actions needed to make sure access is restricted and other specific measures put in place in controlled and supervised areas</w:t>
            </w:r>
          </w:p>
        </w:tc>
        <w:tc>
          <w:tcPr>
            <w:tcW w:w="11907" w:type="dxa"/>
            <w:gridSpan w:val="2"/>
            <w:tcBorders>
              <w:left w:val="single" w:sz="4" w:space="0" w:color="auto"/>
            </w:tcBorders>
          </w:tcPr>
          <w:p w14:paraId="3F5D7765" w14:textId="1ABC5D19" w:rsidR="004732F0" w:rsidRDefault="004732F0" w:rsidP="004732F0">
            <w:pPr>
              <w:pStyle w:val="TableDataLeft"/>
              <w:rPr>
                <w:lang w:eastAsia="en-GB"/>
              </w:rPr>
            </w:pPr>
            <w:r>
              <w:rPr>
                <w:lang w:eastAsia="en-GB"/>
              </w:rPr>
              <w:t>Access to radiation laboratories is restricted to authorised persons who have received appropriate training. Research laboratories in biomedical areas are ‘protected’ by card / swipe access and are behind reception desks. In other radiation areas access control is higher and access to labs is by key control. Labs in multipurpose research decks are mostly open although sources are kept under separate lock and key.</w:t>
            </w:r>
          </w:p>
        </w:tc>
      </w:tr>
      <w:tr w:rsidR="004732F0" w14:paraId="135EA03E" w14:textId="77777777" w:rsidTr="004732F0">
        <w:tblPrEx>
          <w:tblBorders>
            <w:insideV w:val="none" w:sz="0" w:space="0" w:color="auto"/>
          </w:tblBorders>
        </w:tblPrEx>
        <w:trPr>
          <w:trHeight w:val="380"/>
        </w:trPr>
        <w:tc>
          <w:tcPr>
            <w:tcW w:w="2694" w:type="dxa"/>
            <w:tcBorders>
              <w:right w:val="single" w:sz="4" w:space="0" w:color="auto"/>
            </w:tcBorders>
          </w:tcPr>
          <w:p w14:paraId="474C418D" w14:textId="77777777" w:rsidR="004732F0" w:rsidRDefault="004732F0" w:rsidP="003B5AC3">
            <w:pPr>
              <w:pStyle w:val="TableColTitleLeft"/>
              <w:rPr>
                <w:lang w:eastAsia="en-GB"/>
              </w:rPr>
            </w:pPr>
            <w:r>
              <w:rPr>
                <w:lang w:eastAsia="en-GB"/>
              </w:rPr>
              <w:t>70 (f), 71 (b)</w:t>
            </w:r>
          </w:p>
          <w:p w14:paraId="6F8E69AB" w14:textId="537BA446" w:rsidR="004732F0" w:rsidRDefault="004732F0" w:rsidP="00EA34FA">
            <w:pPr>
              <w:pStyle w:val="TableColTitleLeft"/>
              <w:keepNext/>
              <w:keepLines/>
              <w:rPr>
                <w:lang w:eastAsia="en-GB"/>
              </w:rPr>
            </w:pPr>
            <w:r>
              <w:rPr>
                <w:lang w:eastAsia="en-GB"/>
              </w:rPr>
              <w:t>Shielding, exposure control measures or safety design features already in place</w:t>
            </w:r>
          </w:p>
        </w:tc>
        <w:tc>
          <w:tcPr>
            <w:tcW w:w="11907" w:type="dxa"/>
            <w:gridSpan w:val="2"/>
            <w:tcBorders>
              <w:left w:val="single" w:sz="4" w:space="0" w:color="auto"/>
            </w:tcBorders>
          </w:tcPr>
          <w:p w14:paraId="4959FA67" w14:textId="77777777" w:rsidR="004732F0" w:rsidRDefault="004732F0" w:rsidP="003B5AC3">
            <w:pPr>
              <w:pStyle w:val="TableDataLeft"/>
              <w:keepNext w:val="0"/>
              <w:keepLines w:val="0"/>
              <w:rPr>
                <w:lang w:eastAsia="en-GB"/>
              </w:rPr>
            </w:pPr>
            <w:r>
              <w:rPr>
                <w:lang w:eastAsia="en-GB"/>
              </w:rPr>
              <w:t>Radiation work is only carried out at suitably equipped workstations equipped with drip trays or similar spill prevention measures.</w:t>
            </w:r>
          </w:p>
          <w:p w14:paraId="1BE82D9E" w14:textId="020A4D6A" w:rsidR="004732F0" w:rsidRDefault="004732F0" w:rsidP="003B5AC3">
            <w:pPr>
              <w:pStyle w:val="TableDataLeft"/>
              <w:keepNext w:val="0"/>
              <w:keepLines w:val="0"/>
              <w:rPr>
                <w:lang w:eastAsia="en-GB"/>
              </w:rPr>
            </w:pPr>
            <w:r>
              <w:rPr>
                <w:lang w:eastAsia="en-GB"/>
              </w:rPr>
              <w:t>Perspex® body shields are ideally erected at the front edge of workstations, ‘hot’ materials held in Perspex® boxes when not in use and waste pipette tips dropped into bench top Perspex® bins (or similar).</w:t>
            </w:r>
          </w:p>
          <w:p w14:paraId="352AC4F7" w14:textId="77777777" w:rsidR="004732F0" w:rsidRDefault="004732F0" w:rsidP="003B5AC3">
            <w:pPr>
              <w:pStyle w:val="TableDataLeft"/>
              <w:keepNext w:val="0"/>
              <w:keepLines w:val="0"/>
              <w:rPr>
                <w:lang w:eastAsia="en-GB"/>
              </w:rPr>
            </w:pPr>
            <w:r>
              <w:rPr>
                <w:lang w:eastAsia="en-GB"/>
              </w:rPr>
              <w:t xml:space="preserve">Where higher levels of activity are dispensed it is strongly recommended that beta cabs (see image), fume cupboards or similar shielded areas be used. </w:t>
            </w:r>
          </w:p>
          <w:p w14:paraId="44D304E8" w14:textId="77777777" w:rsidR="004732F0" w:rsidRDefault="004732F0" w:rsidP="003B5AC3">
            <w:pPr>
              <w:pStyle w:val="TableDataLeft"/>
              <w:keepNext w:val="0"/>
              <w:keepLines w:val="0"/>
              <w:rPr>
                <w:lang w:eastAsia="en-GB"/>
              </w:rPr>
            </w:pPr>
            <w:r>
              <w:rPr>
                <w:lang w:eastAsia="en-GB"/>
              </w:rPr>
              <w:t>Radioactive sources are at all times be held / stored in their proprietary source pots and never removed for dispensing.</w:t>
            </w:r>
          </w:p>
          <w:p w14:paraId="238729E3" w14:textId="5CF83AFC" w:rsidR="004732F0" w:rsidRDefault="004732F0" w:rsidP="004732F0">
            <w:pPr>
              <w:pStyle w:val="TableDataLeft"/>
              <w:rPr>
                <w:lang w:eastAsia="en-GB"/>
              </w:rPr>
            </w:pPr>
            <w:r>
              <w:rPr>
                <w:lang w:eastAsia="en-GB"/>
              </w:rPr>
              <w:lastRenderedPageBreak/>
              <w:t>Techniques are rehearsed until users are competent, confident and able to minimise handling times.</w:t>
            </w:r>
          </w:p>
        </w:tc>
      </w:tr>
      <w:tr w:rsidR="004732F0" w14:paraId="25E4E64A" w14:textId="77777777" w:rsidTr="004732F0">
        <w:tblPrEx>
          <w:tblBorders>
            <w:insideV w:val="none" w:sz="0" w:space="0" w:color="auto"/>
          </w:tblBorders>
        </w:tblPrEx>
        <w:trPr>
          <w:trHeight w:val="380"/>
        </w:trPr>
        <w:tc>
          <w:tcPr>
            <w:tcW w:w="2694" w:type="dxa"/>
            <w:tcBorders>
              <w:right w:val="single" w:sz="4" w:space="0" w:color="auto"/>
            </w:tcBorders>
          </w:tcPr>
          <w:p w14:paraId="4B6F8895" w14:textId="77777777" w:rsidR="004732F0" w:rsidRDefault="004732F0" w:rsidP="003B5AC3">
            <w:pPr>
              <w:pStyle w:val="TableColTitleLeft"/>
              <w:rPr>
                <w:lang w:eastAsia="en-GB"/>
              </w:rPr>
            </w:pPr>
            <w:r>
              <w:rPr>
                <w:lang w:eastAsia="en-GB"/>
              </w:rPr>
              <w:lastRenderedPageBreak/>
              <w:t>70 (c)</w:t>
            </w:r>
          </w:p>
          <w:p w14:paraId="2CD5EADA" w14:textId="10D7A927" w:rsidR="004732F0" w:rsidRDefault="004732F0" w:rsidP="00EA34FA">
            <w:pPr>
              <w:pStyle w:val="TableColTitleLeft"/>
              <w:keepNext/>
              <w:keepLines/>
              <w:rPr>
                <w:lang w:eastAsia="en-GB"/>
              </w:rPr>
            </w:pPr>
            <w:r>
              <w:rPr>
                <w:lang w:eastAsia="en-GB"/>
              </w:rPr>
              <w:t>The likelihood of contamination arising and being spread</w:t>
            </w:r>
          </w:p>
        </w:tc>
        <w:tc>
          <w:tcPr>
            <w:tcW w:w="11907" w:type="dxa"/>
            <w:gridSpan w:val="2"/>
            <w:tcBorders>
              <w:left w:val="single" w:sz="4" w:space="0" w:color="auto"/>
            </w:tcBorders>
          </w:tcPr>
          <w:p w14:paraId="3C80FBA9" w14:textId="1F0D6F6C" w:rsidR="004732F0" w:rsidRDefault="004732F0" w:rsidP="003B5AC3">
            <w:pPr>
              <w:pStyle w:val="TableColTitleLeft"/>
              <w:rPr>
                <w:lang w:eastAsia="en-GB"/>
              </w:rPr>
            </w:pPr>
            <w:r>
              <w:rPr>
                <w:lang w:eastAsia="en-GB"/>
              </w:rPr>
              <w:t>Airborne contamination</w:t>
            </w:r>
            <w:r w:rsidR="001970AB">
              <w:rPr>
                <w:lang w:eastAsia="en-GB"/>
              </w:rPr>
              <w:t xml:space="preserve"> including vapour</w:t>
            </w:r>
          </w:p>
          <w:p w14:paraId="1E4EC553" w14:textId="1FB93405" w:rsidR="001970AB" w:rsidRDefault="001970AB" w:rsidP="001970AB">
            <w:pPr>
              <w:pStyle w:val="TableDataLeft"/>
              <w:rPr>
                <w:lang w:eastAsia="en-GB"/>
              </w:rPr>
            </w:pPr>
            <w:r>
              <w:rPr>
                <w:lang w:eastAsia="en-GB"/>
              </w:rPr>
              <w:t>Sources are not expected to give rise to airborne contamination and unless otherwise specified in suppliers’ information, stock sources are not expected to give rise to vapours at room temperature. However, raising the temperature and certain chemical manipulations can render tritium into labile forms.</w:t>
            </w:r>
          </w:p>
          <w:p w14:paraId="3B43489A" w14:textId="77777777" w:rsidR="004732F0" w:rsidRDefault="004732F0" w:rsidP="003B5AC3">
            <w:pPr>
              <w:pStyle w:val="TableColTitleLeft"/>
              <w:rPr>
                <w:lang w:eastAsia="en-GB"/>
              </w:rPr>
            </w:pPr>
            <w:r>
              <w:rPr>
                <w:lang w:eastAsia="en-GB"/>
              </w:rPr>
              <w:t>Surface contamination arising</w:t>
            </w:r>
          </w:p>
          <w:p w14:paraId="1F451D5B" w14:textId="77777777" w:rsidR="004732F0" w:rsidRDefault="004732F0" w:rsidP="003B5AC3">
            <w:pPr>
              <w:pStyle w:val="TableDataLeft"/>
              <w:keepNext w:val="0"/>
              <w:keepLines w:val="0"/>
              <w:rPr>
                <w:lang w:eastAsia="en-GB"/>
              </w:rPr>
            </w:pPr>
            <w:r>
              <w:rPr>
                <w:lang w:eastAsia="en-GB"/>
              </w:rPr>
              <w:t>Minor contamination events are likely during pipetting.</w:t>
            </w:r>
          </w:p>
          <w:p w14:paraId="3983E4A1" w14:textId="77777777" w:rsidR="004732F0" w:rsidRDefault="004732F0" w:rsidP="003B5AC3">
            <w:pPr>
              <w:pStyle w:val="TableDataLeft"/>
              <w:keepNext w:val="0"/>
              <w:keepLines w:val="0"/>
              <w:rPr>
                <w:lang w:eastAsia="en-GB"/>
              </w:rPr>
            </w:pPr>
            <w:r>
              <w:rPr>
                <w:lang w:eastAsia="en-GB"/>
              </w:rPr>
              <w:t>Near misses such as dropped source pots or tubes are possible, but rare.</w:t>
            </w:r>
          </w:p>
          <w:p w14:paraId="19525502" w14:textId="77777777" w:rsidR="004732F0" w:rsidRDefault="004732F0" w:rsidP="003B5AC3">
            <w:pPr>
              <w:pStyle w:val="TableColTitleLeft"/>
              <w:rPr>
                <w:lang w:eastAsia="en-GB"/>
              </w:rPr>
            </w:pPr>
            <w:r>
              <w:rPr>
                <w:lang w:eastAsia="en-GB"/>
              </w:rPr>
              <w:t>Surface contamination being spread</w:t>
            </w:r>
          </w:p>
          <w:p w14:paraId="0693EF11" w14:textId="77777777" w:rsidR="004732F0" w:rsidRDefault="004732F0" w:rsidP="003B5AC3">
            <w:pPr>
              <w:pStyle w:val="TableDataLeft"/>
              <w:keepNext w:val="0"/>
              <w:keepLines w:val="0"/>
              <w:rPr>
                <w:lang w:eastAsia="en-GB"/>
              </w:rPr>
            </w:pPr>
            <w:r>
              <w:rPr>
                <w:lang w:eastAsia="en-GB"/>
              </w:rPr>
              <w:t>Work is carried out in drip trays that are fitted with suitable liquid-absorbing liners, and the drip trays must be underlain with Benchkote</w:t>
            </w:r>
            <w:r>
              <w:rPr>
                <w:rFonts w:cs="Arial"/>
                <w:lang w:eastAsia="en-GB"/>
              </w:rPr>
              <w:t>®</w:t>
            </w:r>
            <w:r>
              <w:rPr>
                <w:lang w:eastAsia="en-GB"/>
              </w:rPr>
              <w:t xml:space="preserve"> or a similar absorbent layer. If such measures do not contain spillages it is to be assumed that adjacent surfaces such as bench tops and the floor will be contaminated. Emergency plans will be executed.</w:t>
            </w:r>
          </w:p>
          <w:p w14:paraId="744721A2" w14:textId="77777777" w:rsidR="004732F0" w:rsidRDefault="004732F0" w:rsidP="003B5AC3">
            <w:pPr>
              <w:pStyle w:val="TableDataLeft"/>
              <w:keepNext w:val="0"/>
              <w:keepLines w:val="0"/>
              <w:rPr>
                <w:lang w:eastAsia="en-GB"/>
              </w:rPr>
            </w:pPr>
            <w:r>
              <w:rPr>
                <w:lang w:eastAsia="en-GB"/>
              </w:rPr>
              <w:t>Monitoring regimes are followed to monitor workstations before, during and after use, and also to check fittings, furniture and other equipment.</w:t>
            </w:r>
          </w:p>
          <w:p w14:paraId="30320D28" w14:textId="1ED89B26" w:rsidR="001970AB" w:rsidRDefault="001970AB" w:rsidP="003B5AC3">
            <w:pPr>
              <w:pStyle w:val="TableDataLeft"/>
              <w:keepNext w:val="0"/>
              <w:keepLines w:val="0"/>
              <w:rPr>
                <w:lang w:eastAsia="en-GB"/>
              </w:rPr>
            </w:pPr>
            <w:r>
              <w:rPr>
                <w:lang w:eastAsia="en-GB"/>
              </w:rPr>
              <w:t xml:space="preserve">For </w:t>
            </w:r>
            <w:r>
              <w:rPr>
                <w:vertAlign w:val="superscript"/>
              </w:rPr>
              <w:t>3</w:t>
            </w:r>
            <w:r>
              <w:t>H direct contamination monitoring is not appropriate and workers will need to follow an extensive wipe test / LSC regime.</w:t>
            </w:r>
          </w:p>
          <w:p w14:paraId="67E24879" w14:textId="77777777" w:rsidR="004732F0" w:rsidRDefault="004732F0" w:rsidP="003B5AC3">
            <w:pPr>
              <w:pStyle w:val="TableColTitleLeft"/>
              <w:rPr>
                <w:lang w:eastAsia="en-GB"/>
              </w:rPr>
            </w:pPr>
            <w:r>
              <w:rPr>
                <w:lang w:eastAsia="en-GB"/>
              </w:rPr>
              <w:t>Storage in use and short-term storage in fridges / freezers</w:t>
            </w:r>
          </w:p>
          <w:p w14:paraId="6F033746" w14:textId="5876204D" w:rsidR="004732F0" w:rsidRDefault="004732F0" w:rsidP="003B5AC3">
            <w:pPr>
              <w:pStyle w:val="TableDataLeft"/>
              <w:keepNext w:val="0"/>
              <w:keepLines w:val="0"/>
              <w:rPr>
                <w:lang w:eastAsia="en-GB"/>
              </w:rPr>
            </w:pPr>
            <w:r>
              <w:rPr>
                <w:lang w:eastAsia="en-GB"/>
              </w:rPr>
              <w:t>Sources and materials are held in sealable plastic containers.</w:t>
            </w:r>
          </w:p>
          <w:p w14:paraId="696C7928" w14:textId="77777777" w:rsidR="004732F0" w:rsidRDefault="004732F0" w:rsidP="003B5AC3">
            <w:pPr>
              <w:pStyle w:val="TableDataLeft"/>
              <w:keepNext w:val="0"/>
              <w:keepLines w:val="0"/>
              <w:rPr>
                <w:lang w:eastAsia="en-GB"/>
              </w:rPr>
            </w:pPr>
            <w:r>
              <w:rPr>
                <w:lang w:eastAsia="en-GB"/>
              </w:rPr>
              <w:t>If radioactive materials are stored in fridges or freezers they are in leak-proof containers and not crammed in.</w:t>
            </w:r>
          </w:p>
          <w:p w14:paraId="0170CFC6" w14:textId="77777777" w:rsidR="004732F0" w:rsidRDefault="004732F0" w:rsidP="003B5AC3">
            <w:pPr>
              <w:pStyle w:val="TableDataLeft"/>
              <w:keepNext w:val="0"/>
              <w:keepLines w:val="0"/>
              <w:rPr>
                <w:lang w:eastAsia="en-GB"/>
              </w:rPr>
            </w:pPr>
            <w:r>
              <w:rPr>
                <w:lang w:eastAsia="en-GB"/>
              </w:rPr>
              <w:t>Aerosols are rarely generated when opening source pots (septum type pots), though if generated these do not travel any distance, mostly being intercepted on the ‘hot’ side of body screens and on the drip trays.</w:t>
            </w:r>
          </w:p>
          <w:p w14:paraId="5FDF830B" w14:textId="77777777" w:rsidR="004732F0" w:rsidRDefault="004732F0" w:rsidP="003B5AC3">
            <w:pPr>
              <w:pStyle w:val="TableColTitleLeft"/>
              <w:keepNext/>
              <w:keepLines/>
              <w:widowControl/>
              <w:rPr>
                <w:lang w:eastAsia="en-GB"/>
              </w:rPr>
            </w:pPr>
            <w:r>
              <w:rPr>
                <w:lang w:eastAsia="en-GB"/>
              </w:rPr>
              <w:t>Monitoring</w:t>
            </w:r>
          </w:p>
          <w:p w14:paraId="1CB32BF8" w14:textId="77777777" w:rsidR="004732F0" w:rsidRDefault="004732F0" w:rsidP="003B5AC3">
            <w:pPr>
              <w:pStyle w:val="TableDataLeft"/>
              <w:widowControl/>
              <w:rPr>
                <w:lang w:eastAsia="en-GB"/>
              </w:rPr>
            </w:pPr>
            <w:r>
              <w:rPr>
                <w:lang w:eastAsia="en-GB"/>
              </w:rPr>
              <w:t>Work surfaces, clothing, equipment, pipettes, benches, sinks, taps, the floor, fridges, etc. are monitored frequently (before, during and after work).</w:t>
            </w:r>
          </w:p>
          <w:p w14:paraId="20AA8869" w14:textId="77777777" w:rsidR="004732F0" w:rsidRDefault="004732F0" w:rsidP="003B5AC3">
            <w:pPr>
              <w:pStyle w:val="TableDataLeft"/>
              <w:keepNext w:val="0"/>
              <w:keepLines w:val="0"/>
              <w:rPr>
                <w:lang w:eastAsia="en-GB"/>
              </w:rPr>
            </w:pPr>
            <w:r>
              <w:rPr>
                <w:lang w:eastAsia="en-GB"/>
              </w:rPr>
              <w:t>Workstations and clothing are monitored before the commencement of work, frequently during work, and after work has been cleared away.</w:t>
            </w:r>
          </w:p>
          <w:p w14:paraId="493FEA47" w14:textId="77777777" w:rsidR="004732F0" w:rsidRDefault="004732F0" w:rsidP="003B5AC3">
            <w:pPr>
              <w:pStyle w:val="TableColTitleLeft"/>
              <w:keepNext/>
              <w:keepLines/>
              <w:rPr>
                <w:lang w:eastAsia="en-GB"/>
              </w:rPr>
            </w:pPr>
            <w:r>
              <w:rPr>
                <w:lang w:eastAsia="en-GB"/>
              </w:rPr>
              <w:t>Personal behaviours</w:t>
            </w:r>
          </w:p>
          <w:p w14:paraId="340B803C" w14:textId="77777777" w:rsidR="004732F0" w:rsidRDefault="004732F0" w:rsidP="003B5AC3">
            <w:pPr>
              <w:pStyle w:val="TableDataLeft"/>
              <w:rPr>
                <w:lang w:eastAsia="en-GB"/>
              </w:rPr>
            </w:pPr>
            <w:r>
              <w:rPr>
                <w:lang w:eastAsia="en-GB"/>
              </w:rPr>
              <w:t>Personal behaviour is a root cause of many (inadvertent) contamination events.</w:t>
            </w:r>
          </w:p>
          <w:p w14:paraId="38433A7D" w14:textId="77777777" w:rsidR="004732F0" w:rsidRDefault="004732F0" w:rsidP="003B5AC3">
            <w:pPr>
              <w:pStyle w:val="TableDataLeft"/>
              <w:rPr>
                <w:lang w:eastAsia="en-GB"/>
              </w:rPr>
            </w:pPr>
            <w:r>
              <w:rPr>
                <w:lang w:eastAsia="en-GB"/>
              </w:rPr>
              <w:t xml:space="preserve">Workers and supervisors are aware that work should be planned and carried out methodically, and not when feeling rushed, under pressure or unwell. In addition, as mentioned above, the rehearsal of techniques helps familiarise the </w:t>
            </w:r>
            <w:r>
              <w:rPr>
                <w:lang w:eastAsia="en-GB"/>
              </w:rPr>
              <w:lastRenderedPageBreak/>
              <w:t>worker and can bring to light any limitations and handling difficulties.</w:t>
            </w:r>
          </w:p>
          <w:p w14:paraId="0627AC33" w14:textId="77777777" w:rsidR="004732F0" w:rsidRDefault="004732F0" w:rsidP="003B5AC3">
            <w:pPr>
              <w:pStyle w:val="TableColTitleLeft"/>
              <w:keepNext/>
              <w:keepLines/>
              <w:rPr>
                <w:lang w:eastAsia="en-GB"/>
              </w:rPr>
            </w:pPr>
            <w:r>
              <w:rPr>
                <w:lang w:eastAsia="en-GB"/>
              </w:rPr>
              <w:t>Dispensing</w:t>
            </w:r>
          </w:p>
          <w:p w14:paraId="30361589" w14:textId="3B05CB63" w:rsidR="004732F0" w:rsidRDefault="004732F0" w:rsidP="004732F0">
            <w:pPr>
              <w:pStyle w:val="TableDataLeft"/>
              <w:rPr>
                <w:lang w:eastAsia="en-GB"/>
              </w:rPr>
            </w:pPr>
            <w:r>
              <w:rPr>
                <w:lang w:eastAsia="en-GB"/>
              </w:rPr>
              <w:t>Dispensing is carried out in a fume cupboards / beta-cab or similar or behind beta shields. Workers are aware that aerosols can be generated when syringing activity out of septum-sealed source pots.</w:t>
            </w:r>
          </w:p>
        </w:tc>
      </w:tr>
      <w:tr w:rsidR="00D76F4B" w14:paraId="53FC6AB0" w14:textId="77777777" w:rsidTr="004732F0">
        <w:tblPrEx>
          <w:tblBorders>
            <w:insideV w:val="none" w:sz="0" w:space="0" w:color="auto"/>
          </w:tblBorders>
        </w:tblPrEx>
        <w:trPr>
          <w:trHeight w:val="380"/>
        </w:trPr>
        <w:tc>
          <w:tcPr>
            <w:tcW w:w="2694" w:type="dxa"/>
            <w:tcBorders>
              <w:right w:val="single" w:sz="4" w:space="0" w:color="auto"/>
            </w:tcBorders>
          </w:tcPr>
          <w:p w14:paraId="33136B6E" w14:textId="77777777" w:rsidR="00D76F4B" w:rsidRDefault="00D76F4B" w:rsidP="003B5AC3">
            <w:pPr>
              <w:pStyle w:val="TableColTitleLeft"/>
              <w:rPr>
                <w:lang w:eastAsia="en-GB"/>
              </w:rPr>
            </w:pPr>
            <w:r>
              <w:rPr>
                <w:lang w:eastAsia="en-GB"/>
              </w:rPr>
              <w:lastRenderedPageBreak/>
              <w:t>70 (h)</w:t>
            </w:r>
          </w:p>
          <w:p w14:paraId="4119926C" w14:textId="0B0D376D" w:rsidR="00D76F4B" w:rsidRDefault="00D76F4B" w:rsidP="00EA34FA">
            <w:pPr>
              <w:pStyle w:val="TableColTitleLeft"/>
              <w:keepNext/>
              <w:keepLines/>
              <w:rPr>
                <w:lang w:eastAsia="en-GB"/>
              </w:rPr>
            </w:pPr>
            <w:r>
              <w:rPr>
                <w:lang w:eastAsia="en-GB"/>
              </w:rPr>
              <w:t>Estimated levels of airborne and surface contamination likely to be encountered</w:t>
            </w:r>
          </w:p>
        </w:tc>
        <w:tc>
          <w:tcPr>
            <w:tcW w:w="11907" w:type="dxa"/>
            <w:gridSpan w:val="2"/>
            <w:tcBorders>
              <w:left w:val="single" w:sz="4" w:space="0" w:color="auto"/>
            </w:tcBorders>
          </w:tcPr>
          <w:p w14:paraId="1514099F" w14:textId="77777777" w:rsidR="00D76F4B" w:rsidRDefault="00D76F4B" w:rsidP="003B5AC3">
            <w:pPr>
              <w:pStyle w:val="TableDataLeft"/>
              <w:rPr>
                <w:lang w:eastAsia="en-GB"/>
              </w:rPr>
            </w:pPr>
            <w:r>
              <w:rPr>
                <w:lang w:eastAsia="en-GB"/>
              </w:rPr>
              <w:t>If the measures described above (70c) are followed then contamination should not arise.</w:t>
            </w:r>
          </w:p>
          <w:p w14:paraId="59635D3A" w14:textId="3CC1D501" w:rsidR="00D76F4B" w:rsidRDefault="00D76F4B" w:rsidP="004732F0">
            <w:pPr>
              <w:pStyle w:val="TableDataLeft"/>
              <w:rPr>
                <w:lang w:eastAsia="en-GB"/>
              </w:rPr>
            </w:pPr>
            <w:r>
              <w:rPr>
                <w:lang w:eastAsia="en-GB"/>
              </w:rPr>
              <w:t>If contamination is detected the area must be immediately cleared (wiped) up, with remedial action being taken should the contamination be ‘fixed’ contamination.</w:t>
            </w:r>
          </w:p>
        </w:tc>
      </w:tr>
      <w:tr w:rsidR="00D76F4B" w14:paraId="5FC9BCA0" w14:textId="77777777" w:rsidTr="004732F0">
        <w:tblPrEx>
          <w:tblBorders>
            <w:insideV w:val="none" w:sz="0" w:space="0" w:color="auto"/>
          </w:tblBorders>
        </w:tblPrEx>
        <w:trPr>
          <w:trHeight w:val="380"/>
        </w:trPr>
        <w:tc>
          <w:tcPr>
            <w:tcW w:w="2694" w:type="dxa"/>
            <w:tcBorders>
              <w:right w:val="single" w:sz="4" w:space="0" w:color="auto"/>
            </w:tcBorders>
          </w:tcPr>
          <w:p w14:paraId="731562B3" w14:textId="77777777" w:rsidR="00D76F4B" w:rsidRDefault="00D76F4B" w:rsidP="003B5AC3">
            <w:pPr>
              <w:pStyle w:val="TableColTitleLeft"/>
              <w:rPr>
                <w:lang w:eastAsia="en-GB"/>
              </w:rPr>
            </w:pPr>
            <w:r>
              <w:rPr>
                <w:lang w:eastAsia="en-GB"/>
              </w:rPr>
              <w:t>70 (l)</w:t>
            </w:r>
          </w:p>
          <w:p w14:paraId="15CB368B" w14:textId="167856FB" w:rsidR="00D76F4B" w:rsidRDefault="00D76F4B" w:rsidP="00EA34FA">
            <w:pPr>
              <w:pStyle w:val="TableColTitleLeft"/>
              <w:keepNext/>
              <w:keepLines/>
              <w:rPr>
                <w:lang w:eastAsia="en-GB"/>
              </w:rPr>
            </w:pPr>
            <w:r>
              <w:rPr>
                <w:lang w:eastAsia="en-GB"/>
              </w:rPr>
              <w:t>Consequence of failures of control measures or associated equipment</w:t>
            </w:r>
          </w:p>
        </w:tc>
        <w:tc>
          <w:tcPr>
            <w:tcW w:w="11907" w:type="dxa"/>
            <w:gridSpan w:val="2"/>
            <w:tcBorders>
              <w:left w:val="single" w:sz="4" w:space="0" w:color="auto"/>
            </w:tcBorders>
          </w:tcPr>
          <w:p w14:paraId="21AD88AB" w14:textId="77777777" w:rsidR="00D76F4B" w:rsidRDefault="00D76F4B" w:rsidP="003B5AC3">
            <w:pPr>
              <w:pStyle w:val="TableColTitleLeft"/>
              <w:rPr>
                <w:lang w:eastAsia="en-GB"/>
              </w:rPr>
            </w:pPr>
            <w:r>
              <w:rPr>
                <w:lang w:eastAsia="en-GB"/>
              </w:rPr>
              <w:t>Fume cupboards</w:t>
            </w:r>
          </w:p>
          <w:p w14:paraId="1960C56A" w14:textId="3CE16306" w:rsidR="00D76F4B" w:rsidRDefault="00D76F4B" w:rsidP="003B5AC3">
            <w:pPr>
              <w:pStyle w:val="TableDataLeft"/>
            </w:pPr>
            <w:r>
              <w:t>Although volatile forms are not handled there is no need for fume-cupboards to be used. However, if used it is noted that failure of the ventilation system of a fume cupboard could result in hazardous materials not being extracted or blown ‘backwards’ into a lab. If control of the airflow is lost fume cupboards alarm and if this cannot be resolved sashes are closed and laboratories evacuated.</w:t>
            </w:r>
          </w:p>
          <w:p w14:paraId="30823D50" w14:textId="77777777" w:rsidR="00D76F4B" w:rsidRDefault="00D76F4B" w:rsidP="003B5AC3">
            <w:pPr>
              <w:pStyle w:val="TableDataLeft"/>
            </w:pPr>
            <w:r>
              <w:t>All University LEV is annually tested for functionality and records kept.</w:t>
            </w:r>
          </w:p>
          <w:p w14:paraId="0F76FCAF" w14:textId="77777777" w:rsidR="00D76F4B" w:rsidRPr="00560F00" w:rsidRDefault="00D76F4B" w:rsidP="003B5AC3">
            <w:pPr>
              <w:pStyle w:val="TableColTitleLeft"/>
            </w:pPr>
            <w:r w:rsidRPr="00560F00">
              <w:t>Centrifuges and laboratory equipment</w:t>
            </w:r>
          </w:p>
          <w:p w14:paraId="2FF83303" w14:textId="62C87826" w:rsidR="00D76F4B" w:rsidRDefault="00D76F4B" w:rsidP="004732F0">
            <w:pPr>
              <w:pStyle w:val="TableDataLeft"/>
              <w:rPr>
                <w:lang w:eastAsia="en-GB"/>
              </w:rPr>
            </w:pPr>
            <w:r>
              <w:t>Centrifuges have been known to fail or become unbalanced, releasing their contents. Spilt materials will be contained in the centrifuge, which must not be opened. The equipment must be electrically isolated and treated as a radiation incident; it will be assumed that the loss of radioactive materials has occurred until proven otherwise. Radiation Protection Supervisors assisted by Radiation Safety Unit staff will intervene and execute emergency actions. Radiation monitoring will be of paramount importance.</w:t>
            </w:r>
          </w:p>
        </w:tc>
      </w:tr>
      <w:tr w:rsidR="00D76F4B" w14:paraId="4860A870" w14:textId="77777777" w:rsidTr="004732F0">
        <w:tblPrEx>
          <w:tblBorders>
            <w:insideV w:val="none" w:sz="0" w:space="0" w:color="auto"/>
          </w:tblBorders>
        </w:tblPrEx>
        <w:trPr>
          <w:trHeight w:val="380"/>
        </w:trPr>
        <w:tc>
          <w:tcPr>
            <w:tcW w:w="2694" w:type="dxa"/>
            <w:tcBorders>
              <w:right w:val="single" w:sz="4" w:space="0" w:color="auto"/>
            </w:tcBorders>
          </w:tcPr>
          <w:p w14:paraId="3FB63AF2" w14:textId="77777777" w:rsidR="00D76F4B" w:rsidRDefault="00D76F4B" w:rsidP="003B5AC3">
            <w:pPr>
              <w:pStyle w:val="TableColTitleLeft"/>
              <w:rPr>
                <w:lang w:eastAsia="en-GB"/>
              </w:rPr>
            </w:pPr>
            <w:r>
              <w:rPr>
                <w:lang w:eastAsia="en-GB"/>
              </w:rPr>
              <w:t>70 (k)</w:t>
            </w:r>
          </w:p>
          <w:p w14:paraId="3624E030" w14:textId="4D003A64" w:rsidR="00D76F4B" w:rsidRDefault="00D76F4B" w:rsidP="00EA34FA">
            <w:pPr>
              <w:pStyle w:val="TableColTitleLeft"/>
              <w:keepNext/>
              <w:keepLines/>
              <w:rPr>
                <w:lang w:eastAsia="en-GB"/>
              </w:rPr>
            </w:pPr>
            <w:r>
              <w:rPr>
                <w:lang w:eastAsia="en-GB"/>
              </w:rPr>
              <w:t>Possible accident situations, their likelihood and potential severity</w:t>
            </w:r>
          </w:p>
        </w:tc>
        <w:tc>
          <w:tcPr>
            <w:tcW w:w="11907" w:type="dxa"/>
            <w:gridSpan w:val="2"/>
            <w:tcBorders>
              <w:left w:val="single" w:sz="4" w:space="0" w:color="auto"/>
            </w:tcBorders>
          </w:tcPr>
          <w:p w14:paraId="1CCCFE6C" w14:textId="77777777" w:rsidR="00D76F4B" w:rsidRDefault="00D76F4B" w:rsidP="003B5AC3">
            <w:pPr>
              <w:pStyle w:val="TableColTitleLeft"/>
            </w:pPr>
            <w:r>
              <w:t>Risk of damage through exposure to a contained fire originating in a laboratory</w:t>
            </w:r>
          </w:p>
          <w:p w14:paraId="7F4944E1" w14:textId="2080FE08" w:rsidR="00D76F4B" w:rsidRPr="00560F00" w:rsidRDefault="00D76F4B" w:rsidP="003B5AC3">
            <w:pPr>
              <w:pStyle w:val="TableColTitleLeft"/>
              <w:rPr>
                <w:b w:val="0"/>
              </w:rPr>
            </w:pPr>
            <w:r w:rsidRPr="00560F00">
              <w:rPr>
                <w:b w:val="0"/>
              </w:rPr>
              <w:t xml:space="preserve">The likelihood </w:t>
            </w:r>
            <w:r>
              <w:rPr>
                <w:b w:val="0"/>
              </w:rPr>
              <w:t xml:space="preserve">of a fire breaking through use of a laboratory or adverse / pyrophoric chemical reactions is unlikely in biomedical laboratories designed to handle </w:t>
            </w:r>
            <w:r>
              <w:rPr>
                <w:b w:val="0"/>
                <w:vertAlign w:val="superscript"/>
              </w:rPr>
              <w:t>3</w:t>
            </w:r>
            <w:r>
              <w:rPr>
                <w:b w:val="0"/>
              </w:rPr>
              <w:t>H is low. Fire prevention training is given and evacuation procedures frequently rehearsed.</w:t>
            </w:r>
          </w:p>
          <w:p w14:paraId="38E46F2A" w14:textId="77777777" w:rsidR="00D76F4B" w:rsidRDefault="00D76F4B" w:rsidP="003B5AC3">
            <w:pPr>
              <w:pStyle w:val="TableDataLeft"/>
              <w:keepNext w:val="0"/>
              <w:keepLines w:val="0"/>
            </w:pPr>
            <w:r>
              <w:t>Likelihood: low</w:t>
            </w:r>
          </w:p>
          <w:p w14:paraId="2E8968D0" w14:textId="77777777" w:rsidR="00D76F4B" w:rsidRDefault="00D76F4B" w:rsidP="003B5AC3">
            <w:pPr>
              <w:pStyle w:val="TableDataLeft"/>
              <w:keepNext w:val="0"/>
              <w:keepLines w:val="0"/>
            </w:pPr>
            <w:r>
              <w:t>Risk of radiation protection impact: negligible.</w:t>
            </w:r>
          </w:p>
          <w:p w14:paraId="6886C322" w14:textId="77777777" w:rsidR="00D76F4B" w:rsidRDefault="00D76F4B" w:rsidP="003B5AC3">
            <w:pPr>
              <w:pStyle w:val="TableColTitleLeft"/>
            </w:pPr>
            <w:r>
              <w:t>Laboratory fire</w:t>
            </w:r>
          </w:p>
          <w:p w14:paraId="14F8EBCF" w14:textId="77777777" w:rsidR="00D76F4B" w:rsidRDefault="00D76F4B" w:rsidP="003B5AC3">
            <w:pPr>
              <w:pStyle w:val="TableDataLeft"/>
              <w:keepNext w:val="0"/>
              <w:keepLines w:val="0"/>
            </w:pPr>
            <w:r>
              <w:t xml:space="preserve">A severe fire at the Patterson (CRUK-MI) did occur in 2017 that caused the Institute to be evacuated. The fire did not greatly affect the radiation laboratory, however the incident was treated as if this had happened. Radiation Safety Unit </w:t>
            </w:r>
            <w:r>
              <w:lastRenderedPageBreak/>
              <w:t>assisted the fire brigade with radiation monitoring and ensuring that radiochemicals had not been damaged / affected. Contingency plans were followed.</w:t>
            </w:r>
          </w:p>
          <w:p w14:paraId="2C7B32BA" w14:textId="77777777" w:rsidR="00D76F4B" w:rsidRDefault="00D76F4B" w:rsidP="003B5AC3">
            <w:pPr>
              <w:pStyle w:val="TableDataLeft"/>
              <w:keepNext w:val="0"/>
              <w:keepLines w:val="0"/>
            </w:pPr>
            <w:r>
              <w:t>Likelihood: medium</w:t>
            </w:r>
          </w:p>
          <w:p w14:paraId="0D55CAD6" w14:textId="77777777" w:rsidR="00D76F4B" w:rsidRDefault="00D76F4B" w:rsidP="003B5AC3">
            <w:pPr>
              <w:pStyle w:val="TableDataLeft"/>
            </w:pPr>
            <w:r>
              <w:t>Risk of radiation protection impact: medium.</w:t>
            </w:r>
          </w:p>
          <w:p w14:paraId="2F532F3D" w14:textId="77777777" w:rsidR="00D76F4B" w:rsidRDefault="00D76F4B" w:rsidP="003B5AC3">
            <w:pPr>
              <w:pStyle w:val="TableColTitleLeft"/>
              <w:keepNext/>
              <w:keepLines/>
              <w:widowControl/>
              <w:rPr>
                <w:lang w:eastAsia="en-GB"/>
              </w:rPr>
            </w:pPr>
            <w:r>
              <w:rPr>
                <w:lang w:eastAsia="en-GB"/>
              </w:rPr>
              <w:t>Failure of laboratory equipment (centrifuges etc.)</w:t>
            </w:r>
          </w:p>
          <w:p w14:paraId="2547F32E" w14:textId="77777777" w:rsidR="00D76F4B" w:rsidRDefault="00D76F4B" w:rsidP="003B5AC3">
            <w:pPr>
              <w:pStyle w:val="TableDataLeft"/>
              <w:widowControl/>
              <w:rPr>
                <w:lang w:eastAsia="en-GB"/>
              </w:rPr>
            </w:pPr>
            <w:r>
              <w:rPr>
                <w:lang w:eastAsia="en-GB"/>
              </w:rPr>
              <w:t>Unbalanced centrifuges can fail catastrophically and would release contamination. Local systems for training</w:t>
            </w:r>
            <w:proofErr w:type="gramStart"/>
            <w:r>
              <w:rPr>
                <w:lang w:eastAsia="en-GB"/>
              </w:rPr>
              <w:t>,  authorisation</w:t>
            </w:r>
            <w:proofErr w:type="gramEnd"/>
            <w:r>
              <w:rPr>
                <w:lang w:eastAsia="en-GB"/>
              </w:rPr>
              <w:t>, mentoring and supervision are in place.</w:t>
            </w:r>
          </w:p>
          <w:p w14:paraId="5448F225" w14:textId="77777777" w:rsidR="00D76F4B" w:rsidRDefault="00D76F4B" w:rsidP="003B5AC3">
            <w:pPr>
              <w:pStyle w:val="TableColTitleLeft"/>
              <w:keepNext/>
              <w:keepLines/>
              <w:widowControl/>
              <w:rPr>
                <w:lang w:eastAsia="en-GB"/>
              </w:rPr>
            </w:pPr>
            <w:r>
              <w:rPr>
                <w:lang w:eastAsia="en-GB"/>
              </w:rPr>
              <w:t>Failure of fume cupboards</w:t>
            </w:r>
          </w:p>
          <w:p w14:paraId="3FB9723F" w14:textId="0D7E4565" w:rsidR="00D76F4B" w:rsidRDefault="00D76F4B" w:rsidP="004732F0">
            <w:pPr>
              <w:pStyle w:val="TableDataLeft"/>
              <w:rPr>
                <w:lang w:eastAsia="en-GB"/>
              </w:rPr>
            </w:pPr>
            <w:r>
              <w:rPr>
                <w:lang w:eastAsia="en-GB"/>
              </w:rPr>
              <w:t>Insurance bodies inspect fume-cupboards annually as part of a planned maintenance procedure. Failure or improper use would cause an alarm to sound. Workers receive local instruction and proper use and actions to take in the event of failures.</w:t>
            </w:r>
          </w:p>
        </w:tc>
      </w:tr>
      <w:tr w:rsidR="00D76F4B" w14:paraId="1285008C" w14:textId="77777777" w:rsidTr="004732F0">
        <w:tblPrEx>
          <w:tblBorders>
            <w:insideV w:val="none" w:sz="0" w:space="0" w:color="auto"/>
          </w:tblBorders>
        </w:tblPrEx>
        <w:trPr>
          <w:trHeight w:val="380"/>
        </w:trPr>
        <w:tc>
          <w:tcPr>
            <w:tcW w:w="2694" w:type="dxa"/>
            <w:tcBorders>
              <w:right w:val="single" w:sz="4" w:space="0" w:color="auto"/>
            </w:tcBorders>
          </w:tcPr>
          <w:p w14:paraId="24039E64" w14:textId="77777777" w:rsidR="00D76F4B" w:rsidRDefault="00D76F4B" w:rsidP="003B5AC3">
            <w:pPr>
              <w:pStyle w:val="TableColTitleLeft"/>
              <w:rPr>
                <w:lang w:eastAsia="en-GB"/>
              </w:rPr>
            </w:pPr>
            <w:r>
              <w:rPr>
                <w:lang w:eastAsia="en-GB"/>
              </w:rPr>
              <w:lastRenderedPageBreak/>
              <w:t>71 (h)</w:t>
            </w:r>
          </w:p>
          <w:p w14:paraId="5DACB1FA" w14:textId="39E02132" w:rsidR="00D76F4B" w:rsidRDefault="00D76F4B" w:rsidP="00EA34FA">
            <w:pPr>
              <w:pStyle w:val="TableColTitleLeft"/>
              <w:keepNext/>
              <w:keepLines/>
              <w:rPr>
                <w:lang w:eastAsia="en-GB"/>
              </w:rPr>
            </w:pPr>
            <w:r>
              <w:rPr>
                <w:lang w:eastAsia="en-GB"/>
              </w:rPr>
              <w:t>What contingency plans are necessary to address reasonably foreseeable accidents</w:t>
            </w:r>
          </w:p>
        </w:tc>
        <w:tc>
          <w:tcPr>
            <w:tcW w:w="11907" w:type="dxa"/>
            <w:gridSpan w:val="2"/>
            <w:tcBorders>
              <w:left w:val="single" w:sz="4" w:space="0" w:color="auto"/>
            </w:tcBorders>
          </w:tcPr>
          <w:p w14:paraId="4534B809" w14:textId="66663DD9" w:rsidR="00D76F4B" w:rsidRDefault="00D76F4B" w:rsidP="004732F0">
            <w:pPr>
              <w:pStyle w:val="TableDataLeft"/>
              <w:rPr>
                <w:lang w:eastAsia="en-GB"/>
              </w:rPr>
            </w:pPr>
            <w:r>
              <w:rPr>
                <w:lang w:eastAsia="en-GB"/>
              </w:rPr>
              <w:t>Contingency plans are provided in the local rules.</w:t>
            </w:r>
          </w:p>
        </w:tc>
      </w:tr>
      <w:tr w:rsidR="00D76F4B" w14:paraId="7F64F41D" w14:textId="77777777" w:rsidTr="004732F0">
        <w:tblPrEx>
          <w:tblBorders>
            <w:insideV w:val="none" w:sz="0" w:space="0" w:color="auto"/>
          </w:tblBorders>
        </w:tblPrEx>
        <w:trPr>
          <w:trHeight w:val="380"/>
        </w:trPr>
        <w:tc>
          <w:tcPr>
            <w:tcW w:w="2694" w:type="dxa"/>
            <w:tcBorders>
              <w:right w:val="single" w:sz="4" w:space="0" w:color="auto"/>
            </w:tcBorders>
          </w:tcPr>
          <w:p w14:paraId="7B5FA0FE" w14:textId="77777777" w:rsidR="00D76F4B" w:rsidRDefault="00D76F4B" w:rsidP="003B5AC3">
            <w:pPr>
              <w:pStyle w:val="TableColTitleLeft"/>
              <w:rPr>
                <w:lang w:eastAsia="en-GB"/>
              </w:rPr>
            </w:pPr>
            <w:r>
              <w:rPr>
                <w:lang w:eastAsia="en-GB"/>
              </w:rPr>
              <w:t>71 (n)</w:t>
            </w:r>
          </w:p>
          <w:p w14:paraId="4A80268E" w14:textId="1EB03772" w:rsidR="00D76F4B" w:rsidRDefault="00D76F4B" w:rsidP="00EA34FA">
            <w:pPr>
              <w:pStyle w:val="TableColTitleLeft"/>
              <w:keepNext/>
              <w:keepLines/>
              <w:rPr>
                <w:lang w:eastAsia="en-GB"/>
              </w:rPr>
            </w:pPr>
            <w:r>
              <w:rPr>
                <w:lang w:eastAsia="en-GB"/>
              </w:rPr>
              <w:t>The requirements for (contamination) leakage testing</w:t>
            </w:r>
          </w:p>
        </w:tc>
        <w:tc>
          <w:tcPr>
            <w:tcW w:w="11907" w:type="dxa"/>
            <w:gridSpan w:val="2"/>
            <w:tcBorders>
              <w:left w:val="single" w:sz="4" w:space="0" w:color="auto"/>
            </w:tcBorders>
          </w:tcPr>
          <w:p w14:paraId="694BDDF6" w14:textId="77777777" w:rsidR="00D76F4B" w:rsidRDefault="00D76F4B" w:rsidP="003B5AC3">
            <w:pPr>
              <w:pStyle w:val="TableDataLeft"/>
              <w:keepNext w:val="0"/>
              <w:keepLines w:val="0"/>
              <w:rPr>
                <w:lang w:eastAsia="en-GB"/>
              </w:rPr>
            </w:pPr>
            <w:r>
              <w:rPr>
                <w:lang w:eastAsia="en-GB"/>
              </w:rPr>
              <w:t>Not required as routine.</w:t>
            </w:r>
          </w:p>
          <w:p w14:paraId="31540588" w14:textId="1E8F267F" w:rsidR="00D76F4B" w:rsidRDefault="00D76F4B" w:rsidP="004732F0">
            <w:pPr>
              <w:pStyle w:val="TableDataLeft"/>
              <w:rPr>
                <w:lang w:eastAsia="en-GB"/>
              </w:rPr>
            </w:pPr>
            <w:r>
              <w:rPr>
                <w:lang w:eastAsia="en-GB"/>
              </w:rPr>
              <w:t>Packages received from suppliers are initially monitored then opened on a drip tray and ‘wiped’ as each layer is revealed.</w:t>
            </w:r>
          </w:p>
        </w:tc>
      </w:tr>
      <w:tr w:rsidR="00D76F4B" w14:paraId="44186774" w14:textId="77777777" w:rsidTr="004732F0">
        <w:tblPrEx>
          <w:tblBorders>
            <w:insideV w:val="none" w:sz="0" w:space="0" w:color="auto"/>
          </w:tblBorders>
        </w:tblPrEx>
        <w:trPr>
          <w:trHeight w:val="380"/>
        </w:trPr>
        <w:tc>
          <w:tcPr>
            <w:tcW w:w="2694" w:type="dxa"/>
            <w:tcBorders>
              <w:right w:val="single" w:sz="4" w:space="0" w:color="auto"/>
            </w:tcBorders>
          </w:tcPr>
          <w:p w14:paraId="74C4A0D6" w14:textId="77777777" w:rsidR="00D76F4B" w:rsidRDefault="00D76F4B" w:rsidP="003B5AC3">
            <w:pPr>
              <w:pStyle w:val="TableColTitleLeft"/>
              <w:rPr>
                <w:lang w:eastAsia="en-GB"/>
              </w:rPr>
            </w:pPr>
            <w:r>
              <w:rPr>
                <w:lang w:eastAsia="en-GB"/>
              </w:rPr>
              <w:t>70 (i)</w:t>
            </w:r>
          </w:p>
          <w:p w14:paraId="2AA7CF8B" w14:textId="365B359E" w:rsidR="00D76F4B" w:rsidRDefault="00D76F4B" w:rsidP="00EA34FA">
            <w:pPr>
              <w:pStyle w:val="TableColTitleLeft"/>
              <w:keepNext/>
              <w:keepLines/>
              <w:rPr>
                <w:lang w:eastAsia="en-GB"/>
              </w:rPr>
            </w:pPr>
            <w:r>
              <w:rPr>
                <w:lang w:eastAsia="en-GB"/>
              </w:rPr>
              <w:t>The effectiveness and suitability of PPE to be provided</w:t>
            </w:r>
          </w:p>
        </w:tc>
        <w:tc>
          <w:tcPr>
            <w:tcW w:w="11907" w:type="dxa"/>
            <w:gridSpan w:val="2"/>
            <w:tcBorders>
              <w:left w:val="single" w:sz="4" w:space="0" w:color="auto"/>
            </w:tcBorders>
          </w:tcPr>
          <w:p w14:paraId="6424BC3F" w14:textId="77777777" w:rsidR="00D76F4B" w:rsidRDefault="00D76F4B" w:rsidP="003B5AC3">
            <w:pPr>
              <w:pStyle w:val="TableDataLeft"/>
              <w:keepNext w:val="0"/>
              <w:keepLines w:val="0"/>
              <w:rPr>
                <w:lang w:eastAsia="en-GB"/>
              </w:rPr>
            </w:pPr>
            <w:r>
              <w:rPr>
                <w:lang w:eastAsia="en-GB"/>
              </w:rPr>
              <w:t>Laboratory coats, lab specs and gloves are always worn when working in radiation facilities (unsealed source areas). Such PPE is found to be suitable and sufficient.</w:t>
            </w:r>
          </w:p>
          <w:p w14:paraId="02D1C252" w14:textId="7056B286" w:rsidR="00D76F4B" w:rsidRDefault="00D76F4B" w:rsidP="004732F0">
            <w:pPr>
              <w:pStyle w:val="TableDataLeft"/>
              <w:rPr>
                <w:lang w:eastAsia="en-GB"/>
              </w:rPr>
            </w:pPr>
            <w:r>
              <w:rPr>
                <w:lang w:eastAsia="en-GB"/>
              </w:rPr>
              <w:t>Wearing eye protection (PPE) is mandatory in biology and chemistry laboratories where unsealed sources of radiation are handled.</w:t>
            </w:r>
          </w:p>
        </w:tc>
      </w:tr>
      <w:tr w:rsidR="00D76F4B" w14:paraId="6A51C1D6" w14:textId="77777777" w:rsidTr="004732F0">
        <w:tblPrEx>
          <w:tblBorders>
            <w:insideV w:val="none" w:sz="0" w:space="0" w:color="auto"/>
          </w:tblBorders>
        </w:tblPrEx>
        <w:trPr>
          <w:trHeight w:val="380"/>
        </w:trPr>
        <w:tc>
          <w:tcPr>
            <w:tcW w:w="2694" w:type="dxa"/>
            <w:tcBorders>
              <w:right w:val="single" w:sz="4" w:space="0" w:color="auto"/>
            </w:tcBorders>
          </w:tcPr>
          <w:p w14:paraId="4534018B" w14:textId="77777777" w:rsidR="00D76F4B" w:rsidRDefault="00D76F4B" w:rsidP="003B5AC3">
            <w:pPr>
              <w:pStyle w:val="TableColTitleLeft"/>
              <w:rPr>
                <w:lang w:eastAsia="en-GB"/>
              </w:rPr>
            </w:pPr>
            <w:r>
              <w:rPr>
                <w:lang w:eastAsia="en-GB"/>
              </w:rPr>
              <w:t>70 (d)</w:t>
            </w:r>
          </w:p>
          <w:p w14:paraId="106D0D85" w14:textId="772C0304" w:rsidR="00D76F4B" w:rsidRDefault="00D76F4B" w:rsidP="00EA34FA">
            <w:pPr>
              <w:pStyle w:val="TableColTitleLeft"/>
              <w:keepNext/>
              <w:keepLines/>
              <w:rPr>
                <w:lang w:eastAsia="en-GB"/>
              </w:rPr>
            </w:pPr>
            <w:r>
              <w:rPr>
                <w:lang w:eastAsia="en-GB"/>
              </w:rPr>
              <w:t xml:space="preserve">The results of any previous personal dosimetry or area monitoring relevant to the work, and the </w:t>
            </w:r>
            <w:r>
              <w:rPr>
                <w:lang w:eastAsia="en-GB"/>
              </w:rPr>
              <w:lastRenderedPageBreak/>
              <w:t>provision of any radiation dosimetry</w:t>
            </w:r>
          </w:p>
        </w:tc>
        <w:tc>
          <w:tcPr>
            <w:tcW w:w="11907" w:type="dxa"/>
            <w:gridSpan w:val="2"/>
            <w:tcBorders>
              <w:left w:val="single" w:sz="4" w:space="0" w:color="auto"/>
            </w:tcBorders>
          </w:tcPr>
          <w:p w14:paraId="6E7CA244" w14:textId="77777777" w:rsidR="00D76F4B" w:rsidRDefault="00D76F4B" w:rsidP="003B5AC3">
            <w:pPr>
              <w:pStyle w:val="TableColTitleLeft"/>
              <w:keepNext/>
              <w:keepLines/>
            </w:pPr>
            <w:r>
              <w:lastRenderedPageBreak/>
              <w:t>Dosimetry</w:t>
            </w:r>
          </w:p>
          <w:p w14:paraId="3E6A079C" w14:textId="77777777" w:rsidR="00D76F4B" w:rsidRDefault="00D76F4B" w:rsidP="003B5AC3">
            <w:pPr>
              <w:pStyle w:val="TableDataLeft"/>
            </w:pPr>
            <w:r>
              <w:t>The radiation dosimetry ‘historical record’ indicates that existing practices and control measures are effective. With the exception of a small number of ‘near miss’ incidents, dosimetry returns show exposures at or below the limit of detection</w:t>
            </w:r>
          </w:p>
          <w:p w14:paraId="04B2BDB9" w14:textId="7C4B5B65" w:rsidR="00D76F4B" w:rsidRDefault="00D76F4B" w:rsidP="003B5AC3">
            <w:pPr>
              <w:pStyle w:val="TableDataLeft"/>
            </w:pPr>
            <w:r>
              <w:rPr>
                <w:lang w:eastAsia="en-GB"/>
              </w:rPr>
              <w:t>However, if workers do begin to use beta-emitters &gt;0.3 MeV or gamma-emitters they should give consideration to wearing body dosemeters and finger stall TLDs.</w:t>
            </w:r>
          </w:p>
          <w:p w14:paraId="582511B6" w14:textId="77777777" w:rsidR="00D76F4B" w:rsidRDefault="00D76F4B" w:rsidP="003B5AC3">
            <w:pPr>
              <w:pStyle w:val="TableColTitleLeft"/>
              <w:keepNext/>
              <w:keepLines/>
            </w:pPr>
            <w:r>
              <w:lastRenderedPageBreak/>
              <w:t>Area monitoring</w:t>
            </w:r>
          </w:p>
          <w:p w14:paraId="2125531A" w14:textId="77777777" w:rsidR="00D76F4B" w:rsidRDefault="00D76F4B" w:rsidP="003B5AC3">
            <w:pPr>
              <w:pStyle w:val="TableDataLeft"/>
              <w:keepNext w:val="0"/>
              <w:keepLines w:val="0"/>
            </w:pPr>
            <w:r>
              <w:t>The absence of persistent contamination or repeat contaminating events in annual radiation monitoring surveys and local checks show that existing working practices are acceptable.</w:t>
            </w:r>
          </w:p>
          <w:p w14:paraId="2FF1DA13" w14:textId="77777777" w:rsidR="00D76F4B" w:rsidRPr="00BC44FB" w:rsidRDefault="00D76F4B" w:rsidP="003B5AC3">
            <w:pPr>
              <w:pStyle w:val="TableDataLeft"/>
              <w:keepNext w:val="0"/>
              <w:keepLines w:val="0"/>
              <w:rPr>
                <w:b/>
              </w:rPr>
            </w:pPr>
            <w:r w:rsidRPr="00BC44FB">
              <w:rPr>
                <w:b/>
              </w:rPr>
              <w:t>Accident reporting</w:t>
            </w:r>
          </w:p>
          <w:p w14:paraId="42AC62A9" w14:textId="6C47C545" w:rsidR="00D76F4B" w:rsidRDefault="00D76F4B" w:rsidP="004732F0">
            <w:pPr>
              <w:pStyle w:val="TableDataLeft"/>
              <w:rPr>
                <w:lang w:eastAsia="en-GB"/>
              </w:rPr>
            </w:pPr>
            <w:r>
              <w:t xml:space="preserve">The University has a robust accident and near miss reporting system that is overseen by the Head of Safety Services and is ‘managed’ by a process requiring submissions onto an Event (accident) Database. Reports are seen and reviewed by the committees of the University Governance structure, and where necessary these are raised to the Safety Health and Wellbeing Committee, which </w:t>
            </w:r>
            <w:proofErr w:type="gramStart"/>
            <w:r>
              <w:t>is</w:t>
            </w:r>
            <w:proofErr w:type="gramEnd"/>
            <w:r>
              <w:t xml:space="preserve"> chaired by the Registrar &amp; Chief Reporting Officer.</w:t>
            </w:r>
          </w:p>
        </w:tc>
      </w:tr>
      <w:tr w:rsidR="00D76F4B" w14:paraId="10215DB2" w14:textId="77777777" w:rsidTr="004732F0">
        <w:tblPrEx>
          <w:tblBorders>
            <w:insideV w:val="none" w:sz="0" w:space="0" w:color="auto"/>
          </w:tblBorders>
        </w:tblPrEx>
        <w:trPr>
          <w:trHeight w:val="380"/>
        </w:trPr>
        <w:tc>
          <w:tcPr>
            <w:tcW w:w="2694" w:type="dxa"/>
            <w:tcBorders>
              <w:right w:val="single" w:sz="4" w:space="0" w:color="auto"/>
            </w:tcBorders>
          </w:tcPr>
          <w:p w14:paraId="00D61CF3" w14:textId="77777777" w:rsidR="00D76F4B" w:rsidRDefault="00D76F4B" w:rsidP="003B5AC3">
            <w:pPr>
              <w:pStyle w:val="TableColTitleLeft"/>
              <w:rPr>
                <w:lang w:eastAsia="en-GB"/>
              </w:rPr>
            </w:pPr>
            <w:r>
              <w:rPr>
                <w:lang w:eastAsia="en-GB"/>
              </w:rPr>
              <w:lastRenderedPageBreak/>
              <w:t>71 (l)</w:t>
            </w:r>
          </w:p>
          <w:p w14:paraId="68889854" w14:textId="31214363" w:rsidR="00D76F4B" w:rsidRDefault="00D76F4B" w:rsidP="00EA34FA">
            <w:pPr>
              <w:pStyle w:val="TableColTitleLeft"/>
              <w:keepNext/>
              <w:keepLines/>
              <w:rPr>
                <w:lang w:eastAsia="en-GB"/>
              </w:rPr>
            </w:pPr>
            <w:r>
              <w:rPr>
                <w:lang w:eastAsia="en-GB"/>
              </w:rPr>
              <w:t>The need to designate employees as Classified Persons</w:t>
            </w:r>
          </w:p>
        </w:tc>
        <w:tc>
          <w:tcPr>
            <w:tcW w:w="11907" w:type="dxa"/>
            <w:gridSpan w:val="2"/>
            <w:tcBorders>
              <w:left w:val="single" w:sz="4" w:space="0" w:color="auto"/>
            </w:tcBorders>
          </w:tcPr>
          <w:p w14:paraId="5B48BA56" w14:textId="6422EDC7" w:rsidR="00D76F4B" w:rsidRDefault="00D76F4B" w:rsidP="004732F0">
            <w:pPr>
              <w:pStyle w:val="TableDataLeft"/>
              <w:rPr>
                <w:lang w:eastAsia="en-GB"/>
              </w:rPr>
            </w:pPr>
            <w:r>
              <w:rPr>
                <w:lang w:eastAsia="en-GB"/>
              </w:rPr>
              <w:t>Given the measured / assessed dose rates, the historical record of exposures and also due to the absence of Controlled Areas, and given that persons do not need to enter nuclear sites, there is no need for the designation of Classified Persons.</w:t>
            </w:r>
          </w:p>
        </w:tc>
      </w:tr>
      <w:tr w:rsidR="00D76F4B" w14:paraId="7D7099AA" w14:textId="77777777" w:rsidTr="004732F0">
        <w:tblPrEx>
          <w:tblBorders>
            <w:insideV w:val="none" w:sz="0" w:space="0" w:color="auto"/>
          </w:tblBorders>
        </w:tblPrEx>
        <w:trPr>
          <w:trHeight w:val="380"/>
        </w:trPr>
        <w:tc>
          <w:tcPr>
            <w:tcW w:w="2694" w:type="dxa"/>
            <w:tcBorders>
              <w:right w:val="single" w:sz="4" w:space="0" w:color="auto"/>
            </w:tcBorders>
          </w:tcPr>
          <w:p w14:paraId="2B08D535" w14:textId="77777777" w:rsidR="00D76F4B" w:rsidRDefault="00D76F4B" w:rsidP="003B5AC3">
            <w:pPr>
              <w:pStyle w:val="TableColTitleLeft"/>
              <w:rPr>
                <w:lang w:eastAsia="en-GB"/>
              </w:rPr>
            </w:pPr>
            <w:r>
              <w:rPr>
                <w:lang w:eastAsia="en-GB"/>
              </w:rPr>
              <w:t>71 (b)</w:t>
            </w:r>
          </w:p>
          <w:p w14:paraId="5A0C468C" w14:textId="0CE80F40" w:rsidR="00D76F4B" w:rsidRDefault="00D76F4B" w:rsidP="00EA34FA">
            <w:pPr>
              <w:pStyle w:val="TableColTitleLeft"/>
              <w:keepNext/>
              <w:keepLines/>
              <w:rPr>
                <w:lang w:eastAsia="en-GB"/>
              </w:rPr>
            </w:pPr>
            <w:r>
              <w:rPr>
                <w:lang w:eastAsia="en-GB"/>
              </w:rPr>
              <w:t>Systems of work, administrative controls and other relevant information</w:t>
            </w:r>
          </w:p>
        </w:tc>
        <w:tc>
          <w:tcPr>
            <w:tcW w:w="11907" w:type="dxa"/>
            <w:gridSpan w:val="2"/>
            <w:tcBorders>
              <w:left w:val="single" w:sz="4" w:space="0" w:color="auto"/>
            </w:tcBorders>
          </w:tcPr>
          <w:p w14:paraId="3D9DB82E" w14:textId="77777777" w:rsidR="00D76F4B" w:rsidRDefault="00D76F4B" w:rsidP="003B5AC3">
            <w:pPr>
              <w:pStyle w:val="TableDataLeft"/>
              <w:rPr>
                <w:lang w:eastAsia="en-GB"/>
              </w:rPr>
            </w:pPr>
            <w:r>
              <w:rPr>
                <w:lang w:eastAsia="en-GB"/>
              </w:rPr>
              <w:t xml:space="preserve">Local rules containing contingency plans have been prepared. The intention is that these are concise and restricted to radiation safety matters as required by the ACoP. Where necessary these are supported by local instructions such as waste disposal procedures. The Radiation Safety web pages provide further information, updates and training materials </w:t>
            </w:r>
            <w:hyperlink r:id="rId10" w:history="1">
              <w:r w:rsidRPr="00560F00">
                <w:rPr>
                  <w:rStyle w:val="Hyperlink"/>
                  <w:b/>
                  <w:color w:val="0000FF"/>
                  <w:lang w:eastAsia="en-GB"/>
                </w:rPr>
                <w:t>www.staffnet.manchester.ac.uk/rsu/ionising-radiation/</w:t>
              </w:r>
            </w:hyperlink>
            <w:r>
              <w:rPr>
                <w:lang w:eastAsia="en-GB"/>
              </w:rPr>
              <w:t xml:space="preserve"> </w:t>
            </w:r>
          </w:p>
          <w:p w14:paraId="66AFA3CF" w14:textId="77777777" w:rsidR="00D76F4B" w:rsidRDefault="00D76F4B" w:rsidP="003B5AC3">
            <w:pPr>
              <w:pStyle w:val="TableDataLeft"/>
              <w:rPr>
                <w:lang w:eastAsia="en-GB"/>
              </w:rPr>
            </w:pPr>
          </w:p>
          <w:p w14:paraId="7B2C3A00" w14:textId="77777777" w:rsidR="00D76F4B" w:rsidRDefault="00D76F4B" w:rsidP="003B5AC3">
            <w:pPr>
              <w:pStyle w:val="TableColTitleLeft"/>
            </w:pPr>
            <w:r>
              <w:t>Radioactive sources</w:t>
            </w:r>
          </w:p>
          <w:p w14:paraId="6ABA113A" w14:textId="77777777" w:rsidR="00D76F4B" w:rsidRDefault="00D76F4B" w:rsidP="003B5AC3">
            <w:pPr>
              <w:pStyle w:val="TableDataLeft"/>
            </w:pPr>
            <w:r>
              <w:t>Information leaflets relating to safe use and storage are supplied with each isotope. The information also includes practical notes on chemical and physical stability (including volatility), and the recommended ‘use by’ date of the product.</w:t>
            </w:r>
          </w:p>
          <w:p w14:paraId="7F33C864" w14:textId="77777777" w:rsidR="00D76F4B" w:rsidRDefault="00D76F4B" w:rsidP="003B5AC3">
            <w:pPr>
              <w:pStyle w:val="TableColTitleLeft"/>
            </w:pPr>
            <w:r>
              <w:t>Associated equipment</w:t>
            </w:r>
          </w:p>
          <w:p w14:paraId="009B9ADE" w14:textId="77777777" w:rsidR="00D76F4B" w:rsidRDefault="00D76F4B" w:rsidP="003B5AC3">
            <w:pPr>
              <w:pStyle w:val="TableDataLeft"/>
            </w:pPr>
            <w:r>
              <w:t>Supplier’s information and local training on the safe use of laboratory equipment such as centrifuges, gel dryers and incubators is available, and mandatory regarding certain items of equipment.</w:t>
            </w:r>
          </w:p>
          <w:p w14:paraId="6C90F7E9" w14:textId="77777777" w:rsidR="00D76F4B" w:rsidRDefault="00D76F4B" w:rsidP="003B5AC3">
            <w:pPr>
              <w:pStyle w:val="TableColTitleLeft"/>
            </w:pPr>
            <w:r>
              <w:t>Systems of Work</w:t>
            </w:r>
          </w:p>
          <w:p w14:paraId="10838781" w14:textId="77777777" w:rsidR="00D76F4B" w:rsidRDefault="00D76F4B" w:rsidP="003B5AC3">
            <w:pPr>
              <w:pStyle w:val="TableDataLeft"/>
              <w:keepNext w:val="0"/>
              <w:keepLines w:val="0"/>
              <w:rPr>
                <w:lang w:eastAsia="en-GB"/>
              </w:rPr>
            </w:pPr>
            <w:r>
              <w:rPr>
                <w:lang w:eastAsia="en-GB"/>
              </w:rPr>
              <w:t>As designated areas have been created (Supervised Areas), local rules and contingency plans have been prepared. Deviations from local rules and risk assessments are prepared as supplementary protocols.</w:t>
            </w:r>
          </w:p>
          <w:p w14:paraId="20F2276C" w14:textId="77777777" w:rsidR="00D76F4B" w:rsidRDefault="00D76F4B" w:rsidP="003B5AC3">
            <w:pPr>
              <w:pStyle w:val="TableDataLeft"/>
              <w:keepNext w:val="0"/>
              <w:keepLines w:val="0"/>
              <w:rPr>
                <w:lang w:eastAsia="en-GB"/>
              </w:rPr>
            </w:pPr>
            <w:r>
              <w:rPr>
                <w:lang w:eastAsia="en-GB"/>
              </w:rPr>
              <w:t>Radioactive sources are supplied with safety instructions that identify all general and specific hazards associated with a particular isotope and compound.</w:t>
            </w:r>
          </w:p>
          <w:p w14:paraId="04DF1F9F" w14:textId="77777777" w:rsidR="00D76F4B" w:rsidRDefault="00D76F4B" w:rsidP="003B5AC3">
            <w:pPr>
              <w:pStyle w:val="TableDataLeft"/>
              <w:keepNext w:val="0"/>
              <w:keepLines w:val="0"/>
              <w:rPr>
                <w:lang w:eastAsia="en-GB"/>
              </w:rPr>
            </w:pPr>
            <w:r>
              <w:rPr>
                <w:lang w:eastAsia="en-GB"/>
              </w:rPr>
              <w:t>The following are essential reading:</w:t>
            </w:r>
          </w:p>
          <w:p w14:paraId="7ECCD1E0" w14:textId="77777777" w:rsidR="00D76F4B" w:rsidRDefault="00D76F4B" w:rsidP="00D76F4B">
            <w:pPr>
              <w:pStyle w:val="TableDataLeft"/>
              <w:keepNext w:val="0"/>
              <w:keepLines w:val="0"/>
              <w:numPr>
                <w:ilvl w:val="0"/>
                <w:numId w:val="46"/>
              </w:numPr>
              <w:rPr>
                <w:lang w:eastAsia="en-GB"/>
              </w:rPr>
            </w:pPr>
            <w:r>
              <w:rPr>
                <w:lang w:eastAsia="en-GB"/>
              </w:rPr>
              <w:t xml:space="preserve">Amersham Biosciences. Safe and secure - a guide to working safely with radiolabelled compounds. Publication </w:t>
            </w:r>
            <w:r>
              <w:rPr>
                <w:lang w:eastAsia="en-GB"/>
              </w:rPr>
              <w:lastRenderedPageBreak/>
              <w:t>18-1137-88-AC.</w:t>
            </w:r>
          </w:p>
          <w:p w14:paraId="23FB5ECD" w14:textId="129C8AA5" w:rsidR="00D76F4B" w:rsidRDefault="00D76F4B" w:rsidP="004732F0">
            <w:pPr>
              <w:pStyle w:val="TableDataLeft"/>
              <w:rPr>
                <w:lang w:eastAsia="en-GB"/>
              </w:rPr>
            </w:pPr>
            <w:r>
              <w:rPr>
                <w:lang w:eastAsia="en-GB"/>
              </w:rPr>
              <w:t>Delacroix, D. et al. Radionuclide and radiation data protection handbook. Rad. Prot. Dos. 98 (1) 2002.</w:t>
            </w:r>
          </w:p>
        </w:tc>
      </w:tr>
      <w:tr w:rsidR="001970AB" w14:paraId="345CC289" w14:textId="77777777" w:rsidTr="004732F0">
        <w:tblPrEx>
          <w:tblBorders>
            <w:insideV w:val="none" w:sz="0" w:space="0" w:color="auto"/>
          </w:tblBorders>
        </w:tblPrEx>
        <w:trPr>
          <w:trHeight w:val="380"/>
        </w:trPr>
        <w:tc>
          <w:tcPr>
            <w:tcW w:w="2694" w:type="dxa"/>
            <w:tcBorders>
              <w:right w:val="single" w:sz="4" w:space="0" w:color="auto"/>
            </w:tcBorders>
          </w:tcPr>
          <w:p w14:paraId="60787C8B" w14:textId="77777777" w:rsidR="001970AB" w:rsidRDefault="001970AB" w:rsidP="003B5AC3">
            <w:pPr>
              <w:pStyle w:val="TableColTitleLeft"/>
              <w:rPr>
                <w:lang w:eastAsia="en-GB"/>
              </w:rPr>
            </w:pPr>
            <w:r>
              <w:rPr>
                <w:lang w:eastAsia="en-GB"/>
              </w:rPr>
              <w:lastRenderedPageBreak/>
              <w:t>71 (i)</w:t>
            </w:r>
          </w:p>
          <w:p w14:paraId="3E66121A" w14:textId="094ECDE5" w:rsidR="001970AB" w:rsidRDefault="001970AB" w:rsidP="00EA34FA">
            <w:pPr>
              <w:pStyle w:val="TableColTitleLeft"/>
              <w:keepNext/>
              <w:keepLines/>
              <w:rPr>
                <w:lang w:eastAsia="en-GB"/>
              </w:rPr>
            </w:pPr>
            <w:r>
              <w:rPr>
                <w:lang w:eastAsia="en-GB"/>
              </w:rPr>
              <w:t>The training needs of classified and non-classified employees</w:t>
            </w:r>
          </w:p>
        </w:tc>
        <w:tc>
          <w:tcPr>
            <w:tcW w:w="11907" w:type="dxa"/>
            <w:gridSpan w:val="2"/>
            <w:tcBorders>
              <w:left w:val="single" w:sz="4" w:space="0" w:color="auto"/>
            </w:tcBorders>
          </w:tcPr>
          <w:p w14:paraId="2F3D8529" w14:textId="77777777" w:rsidR="001970AB" w:rsidRDefault="001970AB" w:rsidP="003B5AC3">
            <w:pPr>
              <w:pStyle w:val="TableDataLeft"/>
              <w:keepNext w:val="0"/>
              <w:keepLines w:val="0"/>
              <w:rPr>
                <w:lang w:eastAsia="en-GB"/>
              </w:rPr>
            </w:pPr>
            <w:r>
              <w:rPr>
                <w:lang w:eastAsia="en-GB"/>
              </w:rPr>
              <w:t xml:space="preserve">Basic awareness training is provided centrally and delivered either Face2Face or on line. The training is managed through Staff Learning and Development using the training catalogue </w:t>
            </w:r>
            <w:hyperlink r:id="rId11" w:history="1">
              <w:r w:rsidRPr="00560F00">
                <w:rPr>
                  <w:rStyle w:val="Hyperlink"/>
                  <w:b/>
                  <w:color w:val="0000FF"/>
                  <w:lang w:eastAsia="en-GB"/>
                </w:rPr>
                <w:t>https://app.manchester.ac.uk/public/Login.aspx?PageRequest=/myprofile/training/default.aspx&amp;action=timeout</w:t>
              </w:r>
            </w:hyperlink>
            <w:r>
              <w:rPr>
                <w:lang w:eastAsia="en-GB"/>
              </w:rPr>
              <w:t xml:space="preserve"> the search term ‘radiation’ is used.</w:t>
            </w:r>
          </w:p>
          <w:p w14:paraId="662A4DDC" w14:textId="77777777" w:rsidR="001970AB" w:rsidRDefault="001970AB" w:rsidP="003B5AC3">
            <w:pPr>
              <w:pStyle w:val="TableDataLeft"/>
              <w:keepNext w:val="0"/>
              <w:keepLines w:val="0"/>
              <w:rPr>
                <w:lang w:eastAsia="en-GB"/>
              </w:rPr>
            </w:pPr>
            <w:r>
              <w:rPr>
                <w:lang w:eastAsia="en-GB"/>
              </w:rPr>
              <w:t>Prospective users are given a laboratory induction that includes local training on techniques and radiation safety measures in the facility they will be using supplement central training.</w:t>
            </w:r>
          </w:p>
          <w:p w14:paraId="6CD14BFB" w14:textId="7FF9D433" w:rsidR="001970AB" w:rsidRDefault="001970AB" w:rsidP="004732F0">
            <w:pPr>
              <w:pStyle w:val="TableDataLeft"/>
              <w:rPr>
                <w:lang w:eastAsia="en-GB"/>
              </w:rPr>
            </w:pPr>
            <w:r>
              <w:rPr>
                <w:lang w:eastAsia="en-GB"/>
              </w:rPr>
              <w:t>In addition to the ‘on the job, refresher training courses, refresher instructions and updates are provided. Typically, refresher training is provided every three years.</w:t>
            </w:r>
          </w:p>
        </w:tc>
      </w:tr>
      <w:tr w:rsidR="001970AB" w14:paraId="72E834AC" w14:textId="77777777" w:rsidTr="004732F0">
        <w:tblPrEx>
          <w:tblBorders>
            <w:insideV w:val="none" w:sz="0" w:space="0" w:color="auto"/>
          </w:tblBorders>
        </w:tblPrEx>
        <w:trPr>
          <w:trHeight w:val="380"/>
        </w:trPr>
        <w:tc>
          <w:tcPr>
            <w:tcW w:w="2694" w:type="dxa"/>
            <w:tcBorders>
              <w:right w:val="single" w:sz="4" w:space="0" w:color="auto"/>
            </w:tcBorders>
          </w:tcPr>
          <w:p w14:paraId="2E4E9C38" w14:textId="77777777" w:rsidR="001970AB" w:rsidRDefault="001970AB" w:rsidP="003B5AC3">
            <w:pPr>
              <w:pStyle w:val="TableColTitleLeft"/>
              <w:rPr>
                <w:lang w:eastAsia="en-GB"/>
              </w:rPr>
            </w:pPr>
            <w:r>
              <w:rPr>
                <w:lang w:eastAsia="en-GB"/>
              </w:rPr>
              <w:t>71 (e)</w:t>
            </w:r>
          </w:p>
          <w:p w14:paraId="1C789F5D" w14:textId="18CBD535" w:rsidR="001970AB" w:rsidRDefault="001970AB" w:rsidP="00EA34FA">
            <w:pPr>
              <w:pStyle w:val="TableColTitleLeft"/>
              <w:keepNext/>
              <w:keepLines/>
              <w:rPr>
                <w:lang w:eastAsia="en-GB"/>
              </w:rPr>
            </w:pPr>
            <w:r>
              <w:rPr>
                <w:lang w:eastAsia="en-GB"/>
              </w:rPr>
              <w:t>The need to alter the working conditions of any employee who declares they are pregnant or breastfeeding.</w:t>
            </w:r>
          </w:p>
        </w:tc>
        <w:tc>
          <w:tcPr>
            <w:tcW w:w="11907" w:type="dxa"/>
            <w:gridSpan w:val="2"/>
            <w:tcBorders>
              <w:left w:val="single" w:sz="4" w:space="0" w:color="auto"/>
            </w:tcBorders>
          </w:tcPr>
          <w:p w14:paraId="5A86729F" w14:textId="5EBF02F5" w:rsidR="001970AB" w:rsidRDefault="001970AB" w:rsidP="004732F0">
            <w:pPr>
              <w:pStyle w:val="TableDataLeft"/>
              <w:rPr>
                <w:lang w:eastAsia="en-GB"/>
              </w:rPr>
            </w:pPr>
            <w:r>
              <w:rPr>
                <w:lang w:eastAsia="en-GB"/>
              </w:rPr>
              <w:t xml:space="preserve">There may be other radiological, chemical or physical reasons to make adjustments to a workers environment or potential exposures. Guidance is available on the Occupational Health website at </w:t>
            </w:r>
            <w:hyperlink r:id="rId12" w:history="1">
              <w:r w:rsidRPr="00560F00">
                <w:rPr>
                  <w:rStyle w:val="Hyperlink"/>
                  <w:b/>
                  <w:color w:val="0000FF"/>
                  <w:lang w:eastAsia="en-GB"/>
                </w:rPr>
                <w:t>www.occhealth.manchester.ac.uk/documents</w:t>
              </w:r>
            </w:hyperlink>
            <w:r>
              <w:rPr>
                <w:lang w:eastAsia="en-GB"/>
              </w:rPr>
              <w:t xml:space="preserve"> </w:t>
            </w:r>
          </w:p>
        </w:tc>
      </w:tr>
      <w:tr w:rsidR="001970AB" w14:paraId="15D0EEAF" w14:textId="77777777" w:rsidTr="004732F0">
        <w:tblPrEx>
          <w:tblBorders>
            <w:insideV w:val="none" w:sz="0" w:space="0" w:color="auto"/>
          </w:tblBorders>
        </w:tblPrEx>
        <w:trPr>
          <w:trHeight w:val="380"/>
        </w:trPr>
        <w:tc>
          <w:tcPr>
            <w:tcW w:w="2694" w:type="dxa"/>
            <w:tcBorders>
              <w:right w:val="single" w:sz="4" w:space="0" w:color="auto"/>
            </w:tcBorders>
          </w:tcPr>
          <w:p w14:paraId="49AC0A9E" w14:textId="77777777" w:rsidR="001970AB" w:rsidRDefault="001970AB" w:rsidP="003B5AC3">
            <w:pPr>
              <w:pStyle w:val="TableColTitleLeft"/>
              <w:rPr>
                <w:lang w:eastAsia="en-GB"/>
              </w:rPr>
            </w:pPr>
            <w:r>
              <w:rPr>
                <w:lang w:eastAsia="en-GB"/>
              </w:rPr>
              <w:t>71 (g)</w:t>
            </w:r>
          </w:p>
          <w:p w14:paraId="12C35007" w14:textId="682023EA" w:rsidR="001970AB" w:rsidRDefault="001970AB" w:rsidP="00EA34FA">
            <w:pPr>
              <w:pStyle w:val="TableColTitleLeft"/>
              <w:keepNext/>
              <w:keepLines/>
              <w:rPr>
                <w:lang w:eastAsia="en-GB"/>
              </w:rPr>
            </w:pPr>
            <w:r>
              <w:rPr>
                <w:lang w:eastAsia="en-GB"/>
              </w:rPr>
              <w:t>Commissioning survey, critical examination and annual inspection</w:t>
            </w:r>
          </w:p>
        </w:tc>
        <w:tc>
          <w:tcPr>
            <w:tcW w:w="11907" w:type="dxa"/>
            <w:gridSpan w:val="2"/>
            <w:tcBorders>
              <w:left w:val="single" w:sz="4" w:space="0" w:color="auto"/>
            </w:tcBorders>
          </w:tcPr>
          <w:p w14:paraId="340EC404" w14:textId="77777777" w:rsidR="001970AB" w:rsidRDefault="001970AB" w:rsidP="003B5AC3">
            <w:pPr>
              <w:pStyle w:val="TableDataLeft"/>
              <w:keepNext w:val="0"/>
              <w:keepLines w:val="0"/>
            </w:pPr>
            <w:r>
              <w:t>New or refurbished labs must pass a commissioning survey.</w:t>
            </w:r>
          </w:p>
          <w:p w14:paraId="35829888" w14:textId="77777777" w:rsidR="001970AB" w:rsidRDefault="001970AB" w:rsidP="003B5AC3">
            <w:pPr>
              <w:pStyle w:val="TableDataLeft"/>
              <w:keepNext w:val="0"/>
              <w:keepLines w:val="0"/>
            </w:pPr>
            <w:r>
              <w:t>Major facilities subject to architects and designers specialists assessment managed by a Principle Designer (CDM regulations).</w:t>
            </w:r>
          </w:p>
          <w:p w14:paraId="6E227365" w14:textId="77777777" w:rsidR="001970AB" w:rsidRDefault="001970AB" w:rsidP="003B5AC3">
            <w:pPr>
              <w:pStyle w:val="TableDataLeft"/>
              <w:keepNext w:val="0"/>
              <w:keepLines w:val="0"/>
            </w:pPr>
            <w:r>
              <w:t xml:space="preserve">A design guidance note refers: </w:t>
            </w:r>
            <w:hyperlink r:id="rId13" w:history="1">
              <w:r w:rsidRPr="00560F00">
                <w:rPr>
                  <w:rStyle w:val="Hyperlink"/>
                  <w:b/>
                  <w:color w:val="0000FF"/>
                </w:rPr>
                <w:t>www.staffnet.manchester.ac.uk/rsu/ionising-radiation/radiation-laboratory-design-guidance-note/</w:t>
              </w:r>
            </w:hyperlink>
            <w:r>
              <w:t xml:space="preserve"> </w:t>
            </w:r>
          </w:p>
          <w:p w14:paraId="69E1C860" w14:textId="3AB1C94D" w:rsidR="001970AB" w:rsidRDefault="001970AB" w:rsidP="004732F0">
            <w:pPr>
              <w:pStyle w:val="TableDataLeft"/>
              <w:rPr>
                <w:lang w:eastAsia="en-GB"/>
              </w:rPr>
            </w:pPr>
            <w:r>
              <w:t>The Radiation Safety Unit undertakes approximately annual inspections of safety systems including administrative controls and monitoring surveys.</w:t>
            </w:r>
          </w:p>
        </w:tc>
      </w:tr>
      <w:tr w:rsidR="001970AB" w14:paraId="2366A64A" w14:textId="77777777" w:rsidTr="004732F0">
        <w:tblPrEx>
          <w:tblBorders>
            <w:insideV w:val="none" w:sz="0" w:space="0" w:color="auto"/>
          </w:tblBorders>
        </w:tblPrEx>
        <w:trPr>
          <w:trHeight w:val="380"/>
        </w:trPr>
        <w:tc>
          <w:tcPr>
            <w:tcW w:w="2694" w:type="dxa"/>
            <w:tcBorders>
              <w:right w:val="single" w:sz="4" w:space="0" w:color="auto"/>
            </w:tcBorders>
          </w:tcPr>
          <w:p w14:paraId="5184601F" w14:textId="77777777" w:rsidR="001970AB" w:rsidRDefault="001970AB" w:rsidP="003B5AC3">
            <w:pPr>
              <w:pStyle w:val="TableColTitleLeft"/>
              <w:rPr>
                <w:lang w:eastAsia="en-GB"/>
              </w:rPr>
            </w:pPr>
            <w:r>
              <w:rPr>
                <w:lang w:eastAsia="en-GB"/>
              </w:rPr>
              <w:t>71 (g)</w:t>
            </w:r>
          </w:p>
          <w:p w14:paraId="666A712C" w14:textId="5E68543C" w:rsidR="001970AB" w:rsidRDefault="001970AB" w:rsidP="00EA34FA">
            <w:pPr>
              <w:pStyle w:val="TableColTitleLeft"/>
              <w:keepNext/>
              <w:keepLines/>
              <w:rPr>
                <w:lang w:eastAsia="en-GB"/>
              </w:rPr>
            </w:pPr>
            <w:r>
              <w:rPr>
                <w:lang w:eastAsia="en-GB"/>
              </w:rPr>
              <w:t>The maintenance and testing schedules required for the control measures</w:t>
            </w:r>
          </w:p>
        </w:tc>
        <w:tc>
          <w:tcPr>
            <w:tcW w:w="11907" w:type="dxa"/>
            <w:gridSpan w:val="2"/>
            <w:tcBorders>
              <w:left w:val="single" w:sz="4" w:space="0" w:color="auto"/>
            </w:tcBorders>
          </w:tcPr>
          <w:p w14:paraId="63746CDE" w14:textId="77777777" w:rsidR="001970AB" w:rsidRDefault="001970AB" w:rsidP="003B5AC3">
            <w:pPr>
              <w:pStyle w:val="TableDataLeft"/>
              <w:keepNext w:val="0"/>
              <w:keepLines w:val="0"/>
            </w:pPr>
            <w:r>
              <w:t>Statutory testing and inspection of Local Exhaust Ventilation is overseen by Estates Services (or in some cases by Schools) and regular maintenance schedules for such equipment are maintained.</w:t>
            </w:r>
          </w:p>
          <w:p w14:paraId="1C84881E" w14:textId="04817025" w:rsidR="001970AB" w:rsidRDefault="001970AB" w:rsidP="004732F0">
            <w:pPr>
              <w:pStyle w:val="TableDataLeft"/>
              <w:rPr>
                <w:lang w:eastAsia="en-GB"/>
              </w:rPr>
            </w:pPr>
            <w:proofErr w:type="gramStart"/>
            <w:r>
              <w:t>Equipment including hand-held radiation monitoring equipment is undertaken by the RSU or external bodies</w:t>
            </w:r>
            <w:proofErr w:type="gramEnd"/>
            <w:r>
              <w:t xml:space="preserve"> and suitable records kept as required.</w:t>
            </w:r>
          </w:p>
        </w:tc>
      </w:tr>
      <w:tr w:rsidR="001970AB" w14:paraId="417DCDF3" w14:textId="77777777" w:rsidTr="004732F0">
        <w:tblPrEx>
          <w:tblBorders>
            <w:insideV w:val="none" w:sz="0" w:space="0" w:color="auto"/>
          </w:tblBorders>
        </w:tblPrEx>
        <w:trPr>
          <w:trHeight w:val="380"/>
        </w:trPr>
        <w:tc>
          <w:tcPr>
            <w:tcW w:w="2694" w:type="dxa"/>
            <w:tcBorders>
              <w:right w:val="single" w:sz="4" w:space="0" w:color="auto"/>
            </w:tcBorders>
          </w:tcPr>
          <w:p w14:paraId="74B7F9B4" w14:textId="77777777" w:rsidR="001970AB" w:rsidRDefault="001970AB" w:rsidP="003B5AC3">
            <w:pPr>
              <w:pStyle w:val="TableColTitleLeft"/>
              <w:rPr>
                <w:lang w:eastAsia="en-GB"/>
              </w:rPr>
            </w:pPr>
            <w:r>
              <w:rPr>
                <w:lang w:eastAsia="en-GB"/>
              </w:rPr>
              <w:t>71 (o)</w:t>
            </w:r>
          </w:p>
          <w:p w14:paraId="794F0FB6" w14:textId="50F36C6B" w:rsidR="001970AB" w:rsidRDefault="001970AB" w:rsidP="00EA34FA">
            <w:pPr>
              <w:pStyle w:val="TableColTitleLeft"/>
              <w:keepNext/>
              <w:keepLines/>
              <w:rPr>
                <w:lang w:eastAsia="en-GB"/>
              </w:rPr>
            </w:pPr>
            <w:r>
              <w:rPr>
                <w:lang w:eastAsia="en-GB"/>
              </w:rPr>
              <w:t xml:space="preserve">The responsibilities of </w:t>
            </w:r>
            <w:r>
              <w:rPr>
                <w:lang w:eastAsia="en-GB"/>
              </w:rPr>
              <w:lastRenderedPageBreak/>
              <w:t>managers and workers (including outside workers) for ensuring compliance with these regulations.</w:t>
            </w:r>
          </w:p>
        </w:tc>
        <w:tc>
          <w:tcPr>
            <w:tcW w:w="11907" w:type="dxa"/>
            <w:gridSpan w:val="2"/>
            <w:tcBorders>
              <w:left w:val="single" w:sz="4" w:space="0" w:color="auto"/>
            </w:tcBorders>
          </w:tcPr>
          <w:p w14:paraId="259332CB" w14:textId="734B8B81" w:rsidR="001970AB" w:rsidRDefault="001970AB" w:rsidP="003B5AC3">
            <w:pPr>
              <w:pStyle w:val="TableDataLeft"/>
              <w:keepNext w:val="0"/>
              <w:keepLines w:val="0"/>
            </w:pPr>
            <w:r>
              <w:lastRenderedPageBreak/>
              <w:t xml:space="preserve">Heads of School </w:t>
            </w:r>
            <w:r w:rsidR="00682A26">
              <w:t xml:space="preserve">/ Unit </w:t>
            </w:r>
            <w:r>
              <w:t xml:space="preserve">are responsible for securing statutory compliance and ensuring staff and students comply with local rules, standard operating procedures and other associated safety management processes and procedures, and also for appointing suitable and sufficient Radiation Protection Supervisors to assist them to comply with the IRR17. PIs, </w:t>
            </w:r>
            <w:r>
              <w:lastRenderedPageBreak/>
              <w:t>Group Leaders and facility managers have the responsibility of ensuring Workers (staff and students) comply with requirements laid down in local rules, which is a legal duty, and also comply with University mandatory arrangements.</w:t>
            </w:r>
          </w:p>
          <w:p w14:paraId="1B105B22" w14:textId="77777777" w:rsidR="001970AB" w:rsidRDefault="001970AB" w:rsidP="003B5AC3">
            <w:pPr>
              <w:pStyle w:val="TableDataLeft"/>
              <w:keepNext w:val="0"/>
              <w:keepLines w:val="0"/>
            </w:pPr>
            <w:r>
              <w:t>Local safety committees have been established as part of local safety management and Radiation Protection Supervisors have a role in such committees.</w:t>
            </w:r>
          </w:p>
          <w:p w14:paraId="691ABAD1" w14:textId="5D84E278" w:rsidR="001970AB" w:rsidRDefault="001970AB" w:rsidP="004732F0">
            <w:pPr>
              <w:pStyle w:val="TableDataLeft"/>
              <w:rPr>
                <w:lang w:eastAsia="en-GB"/>
              </w:rPr>
            </w:pPr>
            <w:r>
              <w:t>The University has established a policy and a series of mandatory arrangements, which include Chapter 4: Radiation Safety, Chapter 25: Ionising Radiation Safety, Chapter 13: Faculty, School and Local Policy Statements and Chapter 14: School and Local Health and Safety Committees.</w:t>
            </w:r>
          </w:p>
        </w:tc>
      </w:tr>
    </w:tbl>
    <w:p w14:paraId="76EA72F6" w14:textId="77777777" w:rsidR="001765E0" w:rsidRDefault="001765E0" w:rsidP="00665C97"/>
    <w:p w14:paraId="06C34B27" w14:textId="72C76575" w:rsidR="00DF5802" w:rsidRPr="00DF5802" w:rsidRDefault="00DF5802" w:rsidP="00687C43">
      <w:pPr>
        <w:pStyle w:val="Heading1"/>
        <w:keepNext w:val="0"/>
      </w:pPr>
    </w:p>
    <w:sectPr w:rsidR="00DF5802" w:rsidRPr="00DF5802" w:rsidSect="0067263A">
      <w:headerReference w:type="first" r:id="rId14"/>
      <w:pgSz w:w="16840" w:h="11907" w:orient="landscape" w:code="9"/>
      <w:pgMar w:top="1134" w:right="1134" w:bottom="1134" w:left="1134" w:header="992" w:footer="851"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58A27" w14:textId="77777777" w:rsidR="00BF7E8C" w:rsidRDefault="00BF7E8C">
      <w:r>
        <w:separator/>
      </w:r>
    </w:p>
  </w:endnote>
  <w:endnote w:type="continuationSeparator" w:id="0">
    <w:p w14:paraId="2A55CA58" w14:textId="77777777" w:rsidR="00BF7E8C" w:rsidRDefault="00BF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3FC89" w14:textId="77777777" w:rsidR="00BF7E8C" w:rsidRDefault="00BF7E8C">
      <w:r>
        <w:separator/>
      </w:r>
    </w:p>
  </w:footnote>
  <w:footnote w:type="continuationSeparator" w:id="0">
    <w:p w14:paraId="1536990E" w14:textId="77777777" w:rsidR="00BF7E8C" w:rsidRDefault="00BF7E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00C07" w14:textId="77777777" w:rsidR="00AB3EA0" w:rsidRDefault="00AB3EA0">
    <w:pPr>
      <w:rPr>
        <w:color w:val="FFFFFF"/>
      </w:rPr>
    </w:pPr>
    <w:r>
      <w:rPr>
        <w:color w:val="FFFFFF"/>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0EB9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3F803DE"/>
    <w:lvl w:ilvl="0">
      <w:start w:val="1"/>
      <w:numFmt w:val="decimal"/>
      <w:lvlText w:val="%1."/>
      <w:lvlJc w:val="left"/>
      <w:pPr>
        <w:tabs>
          <w:tab w:val="num" w:pos="1492"/>
        </w:tabs>
        <w:ind w:left="1492" w:hanging="360"/>
      </w:pPr>
    </w:lvl>
  </w:abstractNum>
  <w:abstractNum w:abstractNumId="2">
    <w:nsid w:val="FFFFFF7D"/>
    <w:multiLevelType w:val="singleLevel"/>
    <w:tmpl w:val="E398E55A"/>
    <w:lvl w:ilvl="0">
      <w:start w:val="1"/>
      <w:numFmt w:val="decimal"/>
      <w:lvlText w:val="%1."/>
      <w:lvlJc w:val="left"/>
      <w:pPr>
        <w:tabs>
          <w:tab w:val="num" w:pos="1209"/>
        </w:tabs>
        <w:ind w:left="1209" w:hanging="360"/>
      </w:pPr>
    </w:lvl>
  </w:abstractNum>
  <w:abstractNum w:abstractNumId="3">
    <w:nsid w:val="FFFFFF7E"/>
    <w:multiLevelType w:val="singleLevel"/>
    <w:tmpl w:val="AB6CC11C"/>
    <w:lvl w:ilvl="0">
      <w:start w:val="1"/>
      <w:numFmt w:val="decimal"/>
      <w:lvlText w:val="%1."/>
      <w:lvlJc w:val="left"/>
      <w:pPr>
        <w:tabs>
          <w:tab w:val="num" w:pos="926"/>
        </w:tabs>
        <w:ind w:left="926" w:hanging="360"/>
      </w:pPr>
    </w:lvl>
  </w:abstractNum>
  <w:abstractNum w:abstractNumId="4">
    <w:nsid w:val="FFFFFF7F"/>
    <w:multiLevelType w:val="singleLevel"/>
    <w:tmpl w:val="B3D2F572"/>
    <w:lvl w:ilvl="0">
      <w:start w:val="1"/>
      <w:numFmt w:val="decimal"/>
      <w:lvlText w:val="%1."/>
      <w:lvlJc w:val="left"/>
      <w:pPr>
        <w:tabs>
          <w:tab w:val="num" w:pos="643"/>
        </w:tabs>
        <w:ind w:left="643" w:hanging="360"/>
      </w:pPr>
    </w:lvl>
  </w:abstractNum>
  <w:abstractNum w:abstractNumId="5">
    <w:nsid w:val="FFFFFF80"/>
    <w:multiLevelType w:val="singleLevel"/>
    <w:tmpl w:val="95E85D2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53A8A8E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29AFFC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6874C92A"/>
    <w:lvl w:ilvl="0">
      <w:start w:val="1"/>
      <w:numFmt w:val="bullet"/>
      <w:pStyle w:val="ListBullet2"/>
      <w:lvlText w:val=""/>
      <w:lvlJc w:val="left"/>
      <w:pPr>
        <w:tabs>
          <w:tab w:val="num" w:pos="1134"/>
        </w:tabs>
        <w:ind w:left="1134" w:hanging="567"/>
      </w:pPr>
      <w:rPr>
        <w:rFonts w:ascii="Wingdings" w:hAnsi="Wingdings" w:hint="default"/>
        <w:b w:val="0"/>
        <w:i w:val="0"/>
        <w:caps w:val="0"/>
        <w:strike w:val="0"/>
        <w:dstrike w:val="0"/>
        <w:vanish w:val="0"/>
        <w:color w:val="800000"/>
        <w:spacing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FFFFFF88"/>
    <w:multiLevelType w:val="singleLevel"/>
    <w:tmpl w:val="FAC4EEC2"/>
    <w:lvl w:ilvl="0">
      <w:start w:val="1"/>
      <w:numFmt w:val="decimal"/>
      <w:lvlText w:val="%1."/>
      <w:lvlJc w:val="left"/>
      <w:pPr>
        <w:tabs>
          <w:tab w:val="num" w:pos="360"/>
        </w:tabs>
        <w:ind w:left="360" w:hanging="360"/>
      </w:pPr>
    </w:lvl>
  </w:abstractNum>
  <w:abstractNum w:abstractNumId="10">
    <w:nsid w:val="FFFFFF89"/>
    <w:multiLevelType w:val="singleLevel"/>
    <w:tmpl w:val="4F26E54E"/>
    <w:lvl w:ilvl="0">
      <w:start w:val="1"/>
      <w:numFmt w:val="bullet"/>
      <w:pStyle w:val="ListBullet"/>
      <w:lvlText w:val=""/>
      <w:lvlJc w:val="left"/>
      <w:pPr>
        <w:ind w:left="360" w:hanging="360"/>
      </w:pPr>
      <w:rPr>
        <w:rFonts w:ascii="Symbol" w:hAnsi="Symbol" w:hint="default"/>
        <w:b w:val="0"/>
        <w:i w:val="0"/>
        <w:caps w:val="0"/>
        <w:strike w:val="0"/>
        <w:dstrike w:val="0"/>
        <w:vanish w:val="0"/>
        <w:color w:val="000000" w:themeColor="text1"/>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01182399"/>
    <w:multiLevelType w:val="hybridMultilevel"/>
    <w:tmpl w:val="BF64EF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2855840"/>
    <w:multiLevelType w:val="hybridMultilevel"/>
    <w:tmpl w:val="FFA4F1F8"/>
    <w:lvl w:ilvl="0" w:tplc="307A10E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60C30F6"/>
    <w:multiLevelType w:val="hybridMultilevel"/>
    <w:tmpl w:val="F696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16C0834"/>
    <w:multiLevelType w:val="hybridMultilevel"/>
    <w:tmpl w:val="CBCE5A1E"/>
    <w:lvl w:ilvl="0" w:tplc="95E019F4">
      <w:start w:val="1"/>
      <w:numFmt w:val="decimal"/>
      <w:pStyle w:val="Number"/>
      <w:lvlText w:val="%1)"/>
      <w:lvlJc w:val="left"/>
      <w:pPr>
        <w:tabs>
          <w:tab w:val="num" w:pos="567"/>
        </w:tabs>
        <w:ind w:left="567" w:hanging="567"/>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3CA66F7"/>
    <w:multiLevelType w:val="hybridMultilevel"/>
    <w:tmpl w:val="A38A8B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403605"/>
    <w:multiLevelType w:val="hybridMultilevel"/>
    <w:tmpl w:val="F93AB8B8"/>
    <w:lvl w:ilvl="0" w:tplc="24C021CC">
      <w:start w:val="1"/>
      <w:numFmt w:val="decimal"/>
      <w:pStyle w:val="Table"/>
      <w:lvlText w:val="Table %1"/>
      <w:lvlJc w:val="left"/>
      <w:pPr>
        <w:tabs>
          <w:tab w:val="num" w:pos="1418"/>
        </w:tabs>
        <w:ind w:left="1418" w:hanging="1418"/>
      </w:pPr>
      <w:rPr>
        <w:rFonts w:ascii="Arial" w:hAnsi="Arial" w:hint="default"/>
        <w:b/>
        <w:i w:val="0"/>
        <w:caps w:val="0"/>
        <w:strike w:val="0"/>
        <w:dstrike w:val="0"/>
        <w:vanish w:val="0"/>
        <w:color w:val="000000"/>
        <w:spacing w:val="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799096E"/>
    <w:multiLevelType w:val="hybridMultilevel"/>
    <w:tmpl w:val="73F84F70"/>
    <w:lvl w:ilvl="0" w:tplc="A2588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79D2362"/>
    <w:multiLevelType w:val="multilevel"/>
    <w:tmpl w:val="EE7C8E10"/>
    <w:lvl w:ilvl="0">
      <w:start w:val="1"/>
      <w:numFmt w:val="decimal"/>
      <w:lvlText w:val="%1.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AF13302"/>
    <w:multiLevelType w:val="hybridMultilevel"/>
    <w:tmpl w:val="8A464B28"/>
    <w:lvl w:ilvl="0" w:tplc="A614F7C8">
      <w:start w:val="1"/>
      <w:numFmt w:val="bullet"/>
      <w:lvlText w:val=""/>
      <w:lvlJc w:val="left"/>
      <w:pPr>
        <w:tabs>
          <w:tab w:val="num" w:pos="567"/>
        </w:tabs>
        <w:ind w:left="567" w:hanging="567"/>
      </w:pPr>
      <w:rPr>
        <w:rFonts w:ascii="Symbol" w:hAnsi="Symbol" w:hint="default"/>
        <w:color w:val="8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BB80A1D"/>
    <w:multiLevelType w:val="hybridMultilevel"/>
    <w:tmpl w:val="5BA2A910"/>
    <w:lvl w:ilvl="0" w:tplc="6EB6D492">
      <w:start w:val="1"/>
      <w:numFmt w:val="bullet"/>
      <w:lvlText w:val=""/>
      <w:lvlJc w:val="left"/>
      <w:pPr>
        <w:tabs>
          <w:tab w:val="num" w:pos="567"/>
        </w:tabs>
        <w:ind w:left="567" w:hanging="567"/>
      </w:pPr>
      <w:rPr>
        <w:rFonts w:ascii="Symbol" w:hAnsi="Symbol" w:hint="default"/>
        <w:color w:val="8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D11435C"/>
    <w:multiLevelType w:val="hybridMultilevel"/>
    <w:tmpl w:val="CE180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15606C1"/>
    <w:multiLevelType w:val="hybridMultilevel"/>
    <w:tmpl w:val="D3FE49D8"/>
    <w:lvl w:ilvl="0" w:tplc="A2588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3121475"/>
    <w:multiLevelType w:val="hybridMultilevel"/>
    <w:tmpl w:val="2700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4E517B1"/>
    <w:multiLevelType w:val="hybridMultilevel"/>
    <w:tmpl w:val="50C4FE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5777F4D"/>
    <w:multiLevelType w:val="hybridMultilevel"/>
    <w:tmpl w:val="73F84F70"/>
    <w:lvl w:ilvl="0" w:tplc="A2588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83E1523"/>
    <w:multiLevelType w:val="hybridMultilevel"/>
    <w:tmpl w:val="A20A0674"/>
    <w:lvl w:ilvl="0" w:tplc="DECCBD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8D105AC"/>
    <w:multiLevelType w:val="hybridMultilevel"/>
    <w:tmpl w:val="8E6C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D566C82"/>
    <w:multiLevelType w:val="hybridMultilevel"/>
    <w:tmpl w:val="FFA4F1F8"/>
    <w:lvl w:ilvl="0" w:tplc="307A10E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EA5395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6116001"/>
    <w:multiLevelType w:val="hybridMultilevel"/>
    <w:tmpl w:val="9134E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84C68BF"/>
    <w:multiLevelType w:val="multilevel"/>
    <w:tmpl w:val="E4CC2A38"/>
    <w:lvl w:ilvl="0">
      <w:start w:val="1"/>
      <w:numFmt w:val="decimal"/>
      <w:lvlText w:val="%1.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3D094289"/>
    <w:multiLevelType w:val="hybridMultilevel"/>
    <w:tmpl w:val="7F1E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07D3C51"/>
    <w:multiLevelType w:val="hybridMultilevel"/>
    <w:tmpl w:val="66EE33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4360A33"/>
    <w:multiLevelType w:val="hybridMultilevel"/>
    <w:tmpl w:val="F92CC8E4"/>
    <w:lvl w:ilvl="0" w:tplc="EF1EFAF8">
      <w:start w:val="1"/>
      <w:numFmt w:val="decimal"/>
      <w:pStyle w:val="Figure"/>
      <w:lvlText w:val="Figure %1"/>
      <w:lvlJc w:val="left"/>
      <w:pPr>
        <w:tabs>
          <w:tab w:val="num" w:pos="1418"/>
        </w:tabs>
        <w:ind w:left="1418" w:hanging="1418"/>
      </w:pPr>
      <w:rPr>
        <w:rFonts w:ascii="Arial" w:hAnsi="Arial" w:hint="default"/>
        <w:b/>
        <w:i w:val="0"/>
        <w:caps w:val="0"/>
        <w:strike w:val="0"/>
        <w:dstrike w:val="0"/>
        <w:vanish w:val="0"/>
        <w:spacing w:val="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4F54095"/>
    <w:multiLevelType w:val="hybridMultilevel"/>
    <w:tmpl w:val="B4F0E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68D594D"/>
    <w:multiLevelType w:val="hybridMultilevel"/>
    <w:tmpl w:val="0F50D4C2"/>
    <w:lvl w:ilvl="0" w:tplc="A2588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7B81041"/>
    <w:multiLevelType w:val="hybridMultilevel"/>
    <w:tmpl w:val="783028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B2E5B75"/>
    <w:multiLevelType w:val="singleLevel"/>
    <w:tmpl w:val="949CCFE8"/>
    <w:lvl w:ilvl="0">
      <w:start w:val="1"/>
      <w:numFmt w:val="bullet"/>
      <w:lvlText w:val=""/>
      <w:lvlJc w:val="left"/>
      <w:pPr>
        <w:tabs>
          <w:tab w:val="num" w:pos="1134"/>
        </w:tabs>
        <w:ind w:left="1134" w:hanging="850"/>
      </w:pPr>
      <w:rPr>
        <w:rFonts w:ascii="Symbol" w:hAnsi="Symbol" w:hint="default"/>
        <w:sz w:val="24"/>
      </w:rPr>
    </w:lvl>
  </w:abstractNum>
  <w:abstractNum w:abstractNumId="39">
    <w:nsid w:val="5B564B4B"/>
    <w:multiLevelType w:val="singleLevel"/>
    <w:tmpl w:val="949CCFE8"/>
    <w:lvl w:ilvl="0">
      <w:start w:val="1"/>
      <w:numFmt w:val="bullet"/>
      <w:lvlText w:val=""/>
      <w:lvlJc w:val="left"/>
      <w:pPr>
        <w:tabs>
          <w:tab w:val="num" w:pos="1134"/>
        </w:tabs>
        <w:ind w:left="1134" w:hanging="850"/>
      </w:pPr>
      <w:rPr>
        <w:rFonts w:ascii="Symbol" w:hAnsi="Symbol" w:hint="default"/>
        <w:sz w:val="24"/>
      </w:rPr>
    </w:lvl>
  </w:abstractNum>
  <w:abstractNum w:abstractNumId="40">
    <w:nsid w:val="5BBF735F"/>
    <w:multiLevelType w:val="hybridMultilevel"/>
    <w:tmpl w:val="9FF2A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948484A"/>
    <w:multiLevelType w:val="hybridMultilevel"/>
    <w:tmpl w:val="C338BF0A"/>
    <w:lvl w:ilvl="0" w:tplc="6B4EF7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B30713C"/>
    <w:multiLevelType w:val="hybridMultilevel"/>
    <w:tmpl w:val="10F2892C"/>
    <w:lvl w:ilvl="0" w:tplc="063C95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D047BF9"/>
    <w:multiLevelType w:val="hybridMultilevel"/>
    <w:tmpl w:val="8C7A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28B134A"/>
    <w:multiLevelType w:val="hybridMultilevel"/>
    <w:tmpl w:val="B0C8877E"/>
    <w:lvl w:ilvl="0" w:tplc="0F7447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49B3333"/>
    <w:multiLevelType w:val="hybridMultilevel"/>
    <w:tmpl w:val="BF64EF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C1C003F"/>
    <w:multiLevelType w:val="hybridMultilevel"/>
    <w:tmpl w:val="2D986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6"/>
  </w:num>
  <w:num w:numId="4">
    <w:abstractNumId w:val="34"/>
  </w:num>
  <w:num w:numId="5">
    <w:abstractNumId w:val="10"/>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8"/>
  </w:num>
  <w:num w:numId="15">
    <w:abstractNumId w:val="39"/>
  </w:num>
  <w:num w:numId="16">
    <w:abstractNumId w:val="19"/>
  </w:num>
  <w:num w:numId="17">
    <w:abstractNumId w:val="29"/>
  </w:num>
  <w:num w:numId="18">
    <w:abstractNumId w:val="20"/>
  </w:num>
  <w:num w:numId="19">
    <w:abstractNumId w:val="18"/>
  </w:num>
  <w:num w:numId="20">
    <w:abstractNumId w:val="31"/>
  </w:num>
  <w:num w:numId="21">
    <w:abstractNumId w:val="35"/>
  </w:num>
  <w:num w:numId="22">
    <w:abstractNumId w:val="45"/>
  </w:num>
  <w:num w:numId="23">
    <w:abstractNumId w:val="37"/>
  </w:num>
  <w:num w:numId="24">
    <w:abstractNumId w:val="15"/>
  </w:num>
  <w:num w:numId="25">
    <w:abstractNumId w:val="11"/>
  </w:num>
  <w:num w:numId="26">
    <w:abstractNumId w:val="30"/>
  </w:num>
  <w:num w:numId="27">
    <w:abstractNumId w:val="13"/>
  </w:num>
  <w:num w:numId="28">
    <w:abstractNumId w:val="40"/>
  </w:num>
  <w:num w:numId="29">
    <w:abstractNumId w:val="23"/>
  </w:num>
  <w:num w:numId="30">
    <w:abstractNumId w:val="42"/>
  </w:num>
  <w:num w:numId="31">
    <w:abstractNumId w:val="17"/>
  </w:num>
  <w:num w:numId="32">
    <w:abstractNumId w:val="25"/>
  </w:num>
  <w:num w:numId="33">
    <w:abstractNumId w:val="36"/>
  </w:num>
  <w:num w:numId="34">
    <w:abstractNumId w:val="22"/>
  </w:num>
  <w:num w:numId="35">
    <w:abstractNumId w:val="28"/>
  </w:num>
  <w:num w:numId="36">
    <w:abstractNumId w:val="44"/>
  </w:num>
  <w:num w:numId="37">
    <w:abstractNumId w:val="12"/>
  </w:num>
  <w:num w:numId="38">
    <w:abstractNumId w:val="26"/>
  </w:num>
  <w:num w:numId="39">
    <w:abstractNumId w:val="41"/>
  </w:num>
  <w:num w:numId="40">
    <w:abstractNumId w:val="21"/>
  </w:num>
  <w:num w:numId="41">
    <w:abstractNumId w:val="32"/>
  </w:num>
  <w:num w:numId="42">
    <w:abstractNumId w:val="43"/>
  </w:num>
  <w:num w:numId="43">
    <w:abstractNumId w:val="24"/>
  </w:num>
  <w:num w:numId="44">
    <w:abstractNumId w:val="33"/>
  </w:num>
  <w:num w:numId="45">
    <w:abstractNumId w:val="46"/>
  </w:num>
  <w:num w:numId="46">
    <w:abstractNumId w:val="27"/>
  </w:num>
  <w:num w:numId="4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defaultTabStop w:val="720"/>
  <w:drawingGridHorizontalSpacing w:val="26"/>
  <w:drawingGridVerticalSpacing w:val="7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D7"/>
    <w:rsid w:val="00002712"/>
    <w:rsid w:val="00032291"/>
    <w:rsid w:val="00033A5C"/>
    <w:rsid w:val="00035D62"/>
    <w:rsid w:val="000371F4"/>
    <w:rsid w:val="00040348"/>
    <w:rsid w:val="00050262"/>
    <w:rsid w:val="00061EDF"/>
    <w:rsid w:val="00065CFF"/>
    <w:rsid w:val="000940D2"/>
    <w:rsid w:val="00095F34"/>
    <w:rsid w:val="00096714"/>
    <w:rsid w:val="000A0A5D"/>
    <w:rsid w:val="000B59F7"/>
    <w:rsid w:val="000C37CF"/>
    <w:rsid w:val="000C4181"/>
    <w:rsid w:val="000D50E2"/>
    <w:rsid w:val="000E46F5"/>
    <w:rsid w:val="0010193A"/>
    <w:rsid w:val="00112961"/>
    <w:rsid w:val="00115C5D"/>
    <w:rsid w:val="00120831"/>
    <w:rsid w:val="0012235D"/>
    <w:rsid w:val="0014169A"/>
    <w:rsid w:val="00143472"/>
    <w:rsid w:val="00146223"/>
    <w:rsid w:val="00162288"/>
    <w:rsid w:val="00165436"/>
    <w:rsid w:val="00171730"/>
    <w:rsid w:val="001765E0"/>
    <w:rsid w:val="00182BD4"/>
    <w:rsid w:val="001914D8"/>
    <w:rsid w:val="001960C5"/>
    <w:rsid w:val="001970AB"/>
    <w:rsid w:val="001A0A67"/>
    <w:rsid w:val="001A3B89"/>
    <w:rsid w:val="001A63A0"/>
    <w:rsid w:val="001B19CE"/>
    <w:rsid w:val="001B7AFF"/>
    <w:rsid w:val="001C0E63"/>
    <w:rsid w:val="001C4BC9"/>
    <w:rsid w:val="001C50C8"/>
    <w:rsid w:val="001C6CDE"/>
    <w:rsid w:val="001D197E"/>
    <w:rsid w:val="001E6CC8"/>
    <w:rsid w:val="001E6F66"/>
    <w:rsid w:val="001F0809"/>
    <w:rsid w:val="001F33A7"/>
    <w:rsid w:val="001F4BB3"/>
    <w:rsid w:val="001F4E31"/>
    <w:rsid w:val="001F7ED9"/>
    <w:rsid w:val="00200A91"/>
    <w:rsid w:val="00204C42"/>
    <w:rsid w:val="00206CAD"/>
    <w:rsid w:val="00213B81"/>
    <w:rsid w:val="00220B82"/>
    <w:rsid w:val="002238D8"/>
    <w:rsid w:val="002269EB"/>
    <w:rsid w:val="00230C26"/>
    <w:rsid w:val="00234C4B"/>
    <w:rsid w:val="00237A68"/>
    <w:rsid w:val="002467C6"/>
    <w:rsid w:val="00250C23"/>
    <w:rsid w:val="00265534"/>
    <w:rsid w:val="00266ED4"/>
    <w:rsid w:val="00267E41"/>
    <w:rsid w:val="00273360"/>
    <w:rsid w:val="00280225"/>
    <w:rsid w:val="002824B0"/>
    <w:rsid w:val="002866D7"/>
    <w:rsid w:val="002A323B"/>
    <w:rsid w:val="002B2D02"/>
    <w:rsid w:val="002B352D"/>
    <w:rsid w:val="002C09B3"/>
    <w:rsid w:val="002D31D4"/>
    <w:rsid w:val="002D65AB"/>
    <w:rsid w:val="002E3B8F"/>
    <w:rsid w:val="002F3081"/>
    <w:rsid w:val="00301019"/>
    <w:rsid w:val="003066DD"/>
    <w:rsid w:val="003100D4"/>
    <w:rsid w:val="003338A2"/>
    <w:rsid w:val="00334139"/>
    <w:rsid w:val="00335DA9"/>
    <w:rsid w:val="0033719D"/>
    <w:rsid w:val="0035596E"/>
    <w:rsid w:val="003640D4"/>
    <w:rsid w:val="00366C77"/>
    <w:rsid w:val="00366D49"/>
    <w:rsid w:val="00371B96"/>
    <w:rsid w:val="00377110"/>
    <w:rsid w:val="00383F6E"/>
    <w:rsid w:val="003A10DC"/>
    <w:rsid w:val="003B14AC"/>
    <w:rsid w:val="003B46CF"/>
    <w:rsid w:val="003B58B4"/>
    <w:rsid w:val="003B76C4"/>
    <w:rsid w:val="003B7F72"/>
    <w:rsid w:val="003C1245"/>
    <w:rsid w:val="003C5693"/>
    <w:rsid w:val="003D09AA"/>
    <w:rsid w:val="003D30BA"/>
    <w:rsid w:val="003E5D22"/>
    <w:rsid w:val="003F5C5B"/>
    <w:rsid w:val="00404E7A"/>
    <w:rsid w:val="004221E1"/>
    <w:rsid w:val="00423F1F"/>
    <w:rsid w:val="00426DD3"/>
    <w:rsid w:val="0045201F"/>
    <w:rsid w:val="00455E07"/>
    <w:rsid w:val="004732F0"/>
    <w:rsid w:val="00474480"/>
    <w:rsid w:val="00482A9A"/>
    <w:rsid w:val="004A4D26"/>
    <w:rsid w:val="004B61EB"/>
    <w:rsid w:val="004C0540"/>
    <w:rsid w:val="004C0AB4"/>
    <w:rsid w:val="004C1204"/>
    <w:rsid w:val="004C21B0"/>
    <w:rsid w:val="004D2E07"/>
    <w:rsid w:val="004F19A7"/>
    <w:rsid w:val="004F2407"/>
    <w:rsid w:val="005011BA"/>
    <w:rsid w:val="00501F54"/>
    <w:rsid w:val="00506B5D"/>
    <w:rsid w:val="00513C1D"/>
    <w:rsid w:val="00522580"/>
    <w:rsid w:val="005266AA"/>
    <w:rsid w:val="0053597D"/>
    <w:rsid w:val="00542353"/>
    <w:rsid w:val="00542CF0"/>
    <w:rsid w:val="00542D01"/>
    <w:rsid w:val="00544B8E"/>
    <w:rsid w:val="0055185C"/>
    <w:rsid w:val="00554163"/>
    <w:rsid w:val="0056633E"/>
    <w:rsid w:val="0056714F"/>
    <w:rsid w:val="00567D45"/>
    <w:rsid w:val="00567F24"/>
    <w:rsid w:val="0057361F"/>
    <w:rsid w:val="00574D6C"/>
    <w:rsid w:val="005837BD"/>
    <w:rsid w:val="00584378"/>
    <w:rsid w:val="0058793D"/>
    <w:rsid w:val="00592A4B"/>
    <w:rsid w:val="005A13F8"/>
    <w:rsid w:val="005A1731"/>
    <w:rsid w:val="005A2FF0"/>
    <w:rsid w:val="005A5EDD"/>
    <w:rsid w:val="005B7938"/>
    <w:rsid w:val="005C2D40"/>
    <w:rsid w:val="005D092B"/>
    <w:rsid w:val="005E19F3"/>
    <w:rsid w:val="005E2F5D"/>
    <w:rsid w:val="005E6FA8"/>
    <w:rsid w:val="005F0650"/>
    <w:rsid w:val="0060192F"/>
    <w:rsid w:val="006058E1"/>
    <w:rsid w:val="0062120C"/>
    <w:rsid w:val="00631D41"/>
    <w:rsid w:val="00634397"/>
    <w:rsid w:val="00640347"/>
    <w:rsid w:val="006603B8"/>
    <w:rsid w:val="00663BB5"/>
    <w:rsid w:val="00665C97"/>
    <w:rsid w:val="0067263A"/>
    <w:rsid w:val="006736E0"/>
    <w:rsid w:val="006758DA"/>
    <w:rsid w:val="00682A26"/>
    <w:rsid w:val="00687C43"/>
    <w:rsid w:val="006951E5"/>
    <w:rsid w:val="006A2593"/>
    <w:rsid w:val="006B009F"/>
    <w:rsid w:val="006B1998"/>
    <w:rsid w:val="006B5E73"/>
    <w:rsid w:val="006B629C"/>
    <w:rsid w:val="006B75FE"/>
    <w:rsid w:val="006C5789"/>
    <w:rsid w:val="006E1A5B"/>
    <w:rsid w:val="006E1C02"/>
    <w:rsid w:val="006E3CE8"/>
    <w:rsid w:val="006F0138"/>
    <w:rsid w:val="006F1A93"/>
    <w:rsid w:val="006F3B7F"/>
    <w:rsid w:val="006F4586"/>
    <w:rsid w:val="006F786F"/>
    <w:rsid w:val="0070075E"/>
    <w:rsid w:val="00723327"/>
    <w:rsid w:val="0073131B"/>
    <w:rsid w:val="0073394A"/>
    <w:rsid w:val="00736949"/>
    <w:rsid w:val="00747C76"/>
    <w:rsid w:val="00757409"/>
    <w:rsid w:val="00776610"/>
    <w:rsid w:val="00776F46"/>
    <w:rsid w:val="00777FBB"/>
    <w:rsid w:val="00787561"/>
    <w:rsid w:val="0079399C"/>
    <w:rsid w:val="0079569C"/>
    <w:rsid w:val="007A6D43"/>
    <w:rsid w:val="007A6F28"/>
    <w:rsid w:val="007B3776"/>
    <w:rsid w:val="007B5C54"/>
    <w:rsid w:val="007C29A4"/>
    <w:rsid w:val="007C5EE9"/>
    <w:rsid w:val="007D2773"/>
    <w:rsid w:val="007D4D3B"/>
    <w:rsid w:val="007D6342"/>
    <w:rsid w:val="007E5B48"/>
    <w:rsid w:val="007E78F7"/>
    <w:rsid w:val="008114B5"/>
    <w:rsid w:val="00824461"/>
    <w:rsid w:val="00833013"/>
    <w:rsid w:val="0084061C"/>
    <w:rsid w:val="00843F9D"/>
    <w:rsid w:val="008553C4"/>
    <w:rsid w:val="0086563B"/>
    <w:rsid w:val="00865881"/>
    <w:rsid w:val="008727CF"/>
    <w:rsid w:val="008776F8"/>
    <w:rsid w:val="0088426D"/>
    <w:rsid w:val="008A59AC"/>
    <w:rsid w:val="008A64CD"/>
    <w:rsid w:val="008B099E"/>
    <w:rsid w:val="008B3606"/>
    <w:rsid w:val="008C7F85"/>
    <w:rsid w:val="008D3C89"/>
    <w:rsid w:val="008E16F5"/>
    <w:rsid w:val="008F0F63"/>
    <w:rsid w:val="00900EFF"/>
    <w:rsid w:val="00915530"/>
    <w:rsid w:val="00917AE4"/>
    <w:rsid w:val="009227BF"/>
    <w:rsid w:val="0092609A"/>
    <w:rsid w:val="009266DD"/>
    <w:rsid w:val="00965A65"/>
    <w:rsid w:val="00967536"/>
    <w:rsid w:val="00972356"/>
    <w:rsid w:val="0098419E"/>
    <w:rsid w:val="0099014D"/>
    <w:rsid w:val="009931C3"/>
    <w:rsid w:val="009A30B3"/>
    <w:rsid w:val="009B232C"/>
    <w:rsid w:val="009C7A0E"/>
    <w:rsid w:val="009E2841"/>
    <w:rsid w:val="009E4314"/>
    <w:rsid w:val="009E4D56"/>
    <w:rsid w:val="009E4DE2"/>
    <w:rsid w:val="009E7A4B"/>
    <w:rsid w:val="009F0E0D"/>
    <w:rsid w:val="009F20DA"/>
    <w:rsid w:val="00A00E9B"/>
    <w:rsid w:val="00A03D14"/>
    <w:rsid w:val="00A074C6"/>
    <w:rsid w:val="00A1421A"/>
    <w:rsid w:val="00A20963"/>
    <w:rsid w:val="00A22D0C"/>
    <w:rsid w:val="00A271D8"/>
    <w:rsid w:val="00A36D25"/>
    <w:rsid w:val="00A4483E"/>
    <w:rsid w:val="00A4490E"/>
    <w:rsid w:val="00A455F0"/>
    <w:rsid w:val="00A4659C"/>
    <w:rsid w:val="00A47826"/>
    <w:rsid w:val="00A53ECD"/>
    <w:rsid w:val="00A54BD8"/>
    <w:rsid w:val="00A54BF3"/>
    <w:rsid w:val="00A6114E"/>
    <w:rsid w:val="00A70D70"/>
    <w:rsid w:val="00A776FE"/>
    <w:rsid w:val="00A80E9B"/>
    <w:rsid w:val="00A82910"/>
    <w:rsid w:val="00A82E52"/>
    <w:rsid w:val="00AA64BE"/>
    <w:rsid w:val="00AA6613"/>
    <w:rsid w:val="00AB3EA0"/>
    <w:rsid w:val="00AB3ECE"/>
    <w:rsid w:val="00AB4372"/>
    <w:rsid w:val="00AC37C9"/>
    <w:rsid w:val="00AE0063"/>
    <w:rsid w:val="00AE39C8"/>
    <w:rsid w:val="00AF1C92"/>
    <w:rsid w:val="00B10BCD"/>
    <w:rsid w:val="00B11BE7"/>
    <w:rsid w:val="00B1304F"/>
    <w:rsid w:val="00B40EBA"/>
    <w:rsid w:val="00B50699"/>
    <w:rsid w:val="00B52483"/>
    <w:rsid w:val="00B5464A"/>
    <w:rsid w:val="00B55E72"/>
    <w:rsid w:val="00B612EB"/>
    <w:rsid w:val="00B7057F"/>
    <w:rsid w:val="00B70766"/>
    <w:rsid w:val="00B71B18"/>
    <w:rsid w:val="00B726D6"/>
    <w:rsid w:val="00B77851"/>
    <w:rsid w:val="00B83D10"/>
    <w:rsid w:val="00B912EA"/>
    <w:rsid w:val="00BA67B3"/>
    <w:rsid w:val="00BA762A"/>
    <w:rsid w:val="00BB5C53"/>
    <w:rsid w:val="00BD14B5"/>
    <w:rsid w:val="00BD5416"/>
    <w:rsid w:val="00BF3990"/>
    <w:rsid w:val="00BF3BC5"/>
    <w:rsid w:val="00BF7E8C"/>
    <w:rsid w:val="00C00866"/>
    <w:rsid w:val="00C0445A"/>
    <w:rsid w:val="00C07A90"/>
    <w:rsid w:val="00C179AB"/>
    <w:rsid w:val="00C256E3"/>
    <w:rsid w:val="00C43235"/>
    <w:rsid w:val="00C44308"/>
    <w:rsid w:val="00C52ABE"/>
    <w:rsid w:val="00C649C2"/>
    <w:rsid w:val="00C64F61"/>
    <w:rsid w:val="00C74002"/>
    <w:rsid w:val="00C74E54"/>
    <w:rsid w:val="00C75369"/>
    <w:rsid w:val="00C759DD"/>
    <w:rsid w:val="00C87D60"/>
    <w:rsid w:val="00C956A7"/>
    <w:rsid w:val="00CC22D1"/>
    <w:rsid w:val="00CD2552"/>
    <w:rsid w:val="00CD45C1"/>
    <w:rsid w:val="00CD605D"/>
    <w:rsid w:val="00CE2BCF"/>
    <w:rsid w:val="00CE4D3C"/>
    <w:rsid w:val="00CF2D3B"/>
    <w:rsid w:val="00D046E3"/>
    <w:rsid w:val="00D13307"/>
    <w:rsid w:val="00D1679C"/>
    <w:rsid w:val="00D20781"/>
    <w:rsid w:val="00D33486"/>
    <w:rsid w:val="00D372F9"/>
    <w:rsid w:val="00D37EAD"/>
    <w:rsid w:val="00D453DC"/>
    <w:rsid w:val="00D51B9F"/>
    <w:rsid w:val="00D55A19"/>
    <w:rsid w:val="00D7430E"/>
    <w:rsid w:val="00D76F4B"/>
    <w:rsid w:val="00D846E3"/>
    <w:rsid w:val="00D85323"/>
    <w:rsid w:val="00D8726A"/>
    <w:rsid w:val="00DA6E94"/>
    <w:rsid w:val="00DB72C4"/>
    <w:rsid w:val="00DC5608"/>
    <w:rsid w:val="00DC5D4E"/>
    <w:rsid w:val="00DC66FE"/>
    <w:rsid w:val="00DD756D"/>
    <w:rsid w:val="00DE59D5"/>
    <w:rsid w:val="00DF3481"/>
    <w:rsid w:val="00DF5802"/>
    <w:rsid w:val="00DF642B"/>
    <w:rsid w:val="00DF7154"/>
    <w:rsid w:val="00E155D7"/>
    <w:rsid w:val="00E31B05"/>
    <w:rsid w:val="00E3232B"/>
    <w:rsid w:val="00E34500"/>
    <w:rsid w:val="00E407ED"/>
    <w:rsid w:val="00E41759"/>
    <w:rsid w:val="00E51730"/>
    <w:rsid w:val="00E53953"/>
    <w:rsid w:val="00E554D6"/>
    <w:rsid w:val="00E55774"/>
    <w:rsid w:val="00E56922"/>
    <w:rsid w:val="00E56C2A"/>
    <w:rsid w:val="00E65FC2"/>
    <w:rsid w:val="00E77FD1"/>
    <w:rsid w:val="00E815D2"/>
    <w:rsid w:val="00E82456"/>
    <w:rsid w:val="00E832F0"/>
    <w:rsid w:val="00E900A8"/>
    <w:rsid w:val="00E917F1"/>
    <w:rsid w:val="00E96F94"/>
    <w:rsid w:val="00EA11C5"/>
    <w:rsid w:val="00EA34FA"/>
    <w:rsid w:val="00EA62E0"/>
    <w:rsid w:val="00EB3EAC"/>
    <w:rsid w:val="00EB7A73"/>
    <w:rsid w:val="00ED4D8F"/>
    <w:rsid w:val="00F11B04"/>
    <w:rsid w:val="00F17796"/>
    <w:rsid w:val="00F24EB9"/>
    <w:rsid w:val="00F37981"/>
    <w:rsid w:val="00F445C0"/>
    <w:rsid w:val="00F6571E"/>
    <w:rsid w:val="00F87C67"/>
    <w:rsid w:val="00F90367"/>
    <w:rsid w:val="00FA20CC"/>
    <w:rsid w:val="00FA3D0B"/>
    <w:rsid w:val="00FA6225"/>
    <w:rsid w:val="00FB3FBA"/>
    <w:rsid w:val="00FD71BC"/>
    <w:rsid w:val="00FE2F8B"/>
    <w:rsid w:val="00FF342C"/>
    <w:rsid w:val="00FF64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4A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9D"/>
    <w:pPr>
      <w:widowControl w:val="0"/>
      <w:tabs>
        <w:tab w:val="left" w:pos="1418"/>
      </w:tabs>
      <w:spacing w:line="360" w:lineRule="auto"/>
    </w:pPr>
    <w:rPr>
      <w:rFonts w:ascii="Arial" w:hAnsi="Arial"/>
      <w:sz w:val="22"/>
      <w:szCs w:val="22"/>
      <w:lang w:eastAsia="en-US"/>
    </w:rPr>
  </w:style>
  <w:style w:type="paragraph" w:styleId="Heading1">
    <w:name w:val="heading 1"/>
    <w:aliases w:val="Main Title"/>
    <w:basedOn w:val="Normal"/>
    <w:next w:val="Normal"/>
    <w:qFormat/>
    <w:rsid w:val="002D31D4"/>
    <w:pPr>
      <w:keepNext/>
      <w:spacing w:after="60" w:line="240" w:lineRule="auto"/>
      <w:outlineLvl w:val="0"/>
    </w:pPr>
    <w:rPr>
      <w:rFonts w:cs="Arial"/>
      <w:b/>
      <w:bCs/>
      <w:caps/>
      <w:color w:val="000000"/>
      <w:kern w:val="32"/>
      <w:sz w:val="24"/>
      <w:szCs w:val="24"/>
    </w:rPr>
  </w:style>
  <w:style w:type="paragraph" w:styleId="Heading2">
    <w:name w:val="heading 2"/>
    <w:aliases w:val="Secondary Title"/>
    <w:basedOn w:val="Normal"/>
    <w:next w:val="Normal"/>
    <w:qFormat/>
    <w:rsid w:val="004C21B0"/>
    <w:pPr>
      <w:keepNext/>
      <w:keepLines/>
      <w:spacing w:before="120" w:after="60" w:line="240" w:lineRule="auto"/>
      <w:outlineLvl w:val="1"/>
    </w:pPr>
    <w:rPr>
      <w:rFonts w:cs="Arial"/>
      <w:b/>
      <w:bCs/>
      <w:iCs/>
      <w:caps/>
      <w:color w:val="000000"/>
    </w:rPr>
  </w:style>
  <w:style w:type="paragraph" w:styleId="Heading3">
    <w:name w:val="heading 3"/>
    <w:aliases w:val="Section Heading"/>
    <w:basedOn w:val="Normal"/>
    <w:next w:val="Normal"/>
    <w:qFormat/>
    <w:rsid w:val="0033719D"/>
    <w:pPr>
      <w:keepNext/>
      <w:keepLines/>
      <w:spacing w:before="480" w:after="120"/>
      <w:outlineLvl w:val="2"/>
    </w:pPr>
    <w:rPr>
      <w:rFonts w:cs="Arial"/>
      <w:b/>
      <w:bCs/>
      <w:caps/>
      <w:color w:val="000000"/>
    </w:rPr>
  </w:style>
  <w:style w:type="paragraph" w:styleId="Heading4">
    <w:name w:val="heading 4"/>
    <w:aliases w:val="Paragraph Heading"/>
    <w:basedOn w:val="Normal"/>
    <w:next w:val="Normal"/>
    <w:qFormat/>
    <w:rsid w:val="0033719D"/>
    <w:pPr>
      <w:keepNext/>
      <w:keepLines/>
      <w:spacing w:before="240" w:after="120"/>
      <w:outlineLvl w:val="3"/>
    </w:pPr>
    <w:rPr>
      <w:b/>
      <w:bCs/>
      <w:color w:val="000000"/>
    </w:rPr>
  </w:style>
  <w:style w:type="paragraph" w:styleId="Heading5">
    <w:name w:val="heading 5"/>
    <w:aliases w:val="Sub-paragraph Heading"/>
    <w:basedOn w:val="Normal"/>
    <w:next w:val="Normal"/>
    <w:qFormat/>
    <w:rsid w:val="0033719D"/>
    <w:pPr>
      <w:keepNext/>
      <w:keepLines/>
      <w:spacing w:before="240" w:after="120"/>
      <w:outlineLvl w:val="4"/>
    </w:pPr>
    <w:rPr>
      <w:b/>
      <w:i/>
      <w:color w:val="000000"/>
    </w:rPr>
  </w:style>
  <w:style w:type="paragraph" w:styleId="Heading6">
    <w:name w:val="heading 6"/>
    <w:aliases w:val="Sub-sub-heading"/>
    <w:basedOn w:val="Normal"/>
    <w:next w:val="Normal"/>
    <w:qFormat/>
    <w:rsid w:val="0033719D"/>
    <w:pPr>
      <w:keepNext/>
      <w:keepLines/>
      <w:spacing w:before="240" w:after="120"/>
      <w:ind w:left="567"/>
      <w:outlineLvl w:val="5"/>
    </w:pPr>
    <w:rPr>
      <w:b/>
      <w:i/>
      <w:color w:val="000000"/>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keepNext/>
      <w:keepLines/>
      <w:pBdr>
        <w:top w:val="single" w:sz="12" w:space="1" w:color="808080"/>
        <w:bottom w:val="single" w:sz="12" w:space="1" w:color="808080"/>
      </w:pBdr>
      <w:tabs>
        <w:tab w:val="right" w:pos="9639"/>
      </w:tabs>
      <w:spacing w:after="120" w:line="180" w:lineRule="atLeast"/>
    </w:pPr>
    <w:rPr>
      <w:b/>
      <w:color w:val="808080"/>
      <w:sz w:val="20"/>
    </w:rPr>
  </w:style>
  <w:style w:type="paragraph" w:customStyle="1" w:styleId="Number">
    <w:name w:val="Number"/>
    <w:basedOn w:val="ListBullet"/>
    <w:rsid w:val="008E16F5"/>
    <w:pPr>
      <w:numPr>
        <w:numId w:val="1"/>
      </w:numPr>
      <w:spacing w:line="240" w:lineRule="auto"/>
    </w:pPr>
  </w:style>
  <w:style w:type="paragraph" w:styleId="ListBullet">
    <w:name w:val="List Bullet"/>
    <w:basedOn w:val="Normal"/>
    <w:autoRedefine/>
    <w:rsid w:val="00B50699"/>
    <w:pPr>
      <w:numPr>
        <w:numId w:val="5"/>
      </w:numPr>
      <w:spacing w:before="60" w:after="60"/>
    </w:pPr>
    <w:rPr>
      <w:color w:val="000000" w:themeColor="text1"/>
    </w:rPr>
  </w:style>
  <w:style w:type="paragraph" w:styleId="Quote">
    <w:name w:val="Quote"/>
    <w:basedOn w:val="Normal"/>
    <w:qFormat/>
    <w:pPr>
      <w:spacing w:before="60" w:after="60"/>
      <w:ind w:left="1134" w:right="1134"/>
    </w:pPr>
    <w:rPr>
      <w:i/>
    </w:rPr>
  </w:style>
  <w:style w:type="paragraph" w:styleId="Footer">
    <w:name w:val="footer"/>
    <w:aliases w:val="Footer title"/>
    <w:basedOn w:val="Normal"/>
    <w:link w:val="FooterChar"/>
    <w:uiPriority w:val="99"/>
    <w:rsid w:val="003E5D22"/>
    <w:pPr>
      <w:keepNext/>
      <w:keepLines/>
      <w:tabs>
        <w:tab w:val="right" w:pos="9185"/>
      </w:tabs>
      <w:spacing w:before="60" w:line="240" w:lineRule="auto"/>
    </w:pPr>
    <w:rPr>
      <w:color w:val="000000" w:themeColor="text1"/>
      <w:sz w:val="16"/>
      <w:u w:val="single"/>
    </w:rPr>
  </w:style>
  <w:style w:type="paragraph" w:customStyle="1" w:styleId="Textbox">
    <w:name w:val="Text box"/>
    <w:basedOn w:val="Normal"/>
    <w:rsid w:val="0033719D"/>
    <w:pPr>
      <w:keepNext/>
      <w:keepLines/>
      <w:shd w:val="clear" w:color="auto" w:fill="C0C0C0"/>
      <w:spacing w:before="240" w:after="60"/>
      <w:ind w:left="2835"/>
    </w:pPr>
    <w:rPr>
      <w:b/>
      <w:i/>
      <w:color w:val="000000"/>
    </w:rPr>
  </w:style>
  <w:style w:type="paragraph" w:customStyle="1" w:styleId="Table">
    <w:name w:val="Table"/>
    <w:basedOn w:val="Normal"/>
    <w:rsid w:val="0033719D"/>
    <w:pPr>
      <w:keepNext/>
      <w:keepLines/>
      <w:numPr>
        <w:numId w:val="3"/>
      </w:numPr>
      <w:spacing w:before="120" w:after="120" w:line="240" w:lineRule="auto"/>
    </w:pPr>
    <w:rPr>
      <w:b/>
      <w:color w:val="000000"/>
    </w:rPr>
  </w:style>
  <w:style w:type="paragraph" w:customStyle="1" w:styleId="Figure">
    <w:name w:val="Figure"/>
    <w:basedOn w:val="Normal"/>
    <w:rsid w:val="0033719D"/>
    <w:pPr>
      <w:keepNext/>
      <w:keepLines/>
      <w:numPr>
        <w:numId w:val="4"/>
      </w:numPr>
      <w:spacing w:before="120" w:after="480" w:line="240" w:lineRule="auto"/>
    </w:pPr>
    <w:rPr>
      <w:b/>
      <w:color w:val="000000"/>
    </w:rPr>
  </w:style>
  <w:style w:type="paragraph" w:customStyle="1" w:styleId="TableColTitleLeft">
    <w:name w:val="Table Col Title Left"/>
    <w:basedOn w:val="Normal"/>
    <w:rsid w:val="0033719D"/>
    <w:pPr>
      <w:suppressLineNumbers/>
      <w:suppressAutoHyphens/>
      <w:spacing w:before="120" w:after="120" w:line="240" w:lineRule="auto"/>
    </w:pPr>
    <w:rPr>
      <w:b/>
      <w:color w:val="000000"/>
    </w:rPr>
  </w:style>
  <w:style w:type="paragraph" w:customStyle="1" w:styleId="TableColTitleCentre">
    <w:name w:val="Table Col Title Centre"/>
    <w:basedOn w:val="TableColTitleLeft"/>
    <w:rsid w:val="0033719D"/>
    <w:pPr>
      <w:jc w:val="center"/>
    </w:pPr>
  </w:style>
  <w:style w:type="paragraph" w:customStyle="1" w:styleId="TableDataLeft">
    <w:name w:val="Table Data Left"/>
    <w:basedOn w:val="Normal"/>
    <w:rsid w:val="002A323B"/>
    <w:pPr>
      <w:keepNext/>
      <w:keepLines/>
      <w:spacing w:before="60" w:after="60" w:line="240" w:lineRule="auto"/>
    </w:pPr>
    <w:rPr>
      <w:color w:val="000000"/>
    </w:rPr>
  </w:style>
  <w:style w:type="paragraph" w:customStyle="1" w:styleId="TableDateCentre">
    <w:name w:val="Table Date Centre"/>
    <w:basedOn w:val="Normal"/>
    <w:rsid w:val="002A323B"/>
    <w:pPr>
      <w:keepNext/>
      <w:keepLines/>
      <w:spacing w:before="60" w:after="60" w:line="240" w:lineRule="auto"/>
      <w:jc w:val="center"/>
    </w:pPr>
    <w:rPr>
      <w:color w:val="000000"/>
    </w:rPr>
  </w:style>
  <w:style w:type="paragraph" w:styleId="ListBullet2">
    <w:name w:val="List Bullet 2"/>
    <w:basedOn w:val="Normal"/>
    <w:autoRedefine/>
    <w:pPr>
      <w:numPr>
        <w:numId w:val="6"/>
      </w:numPr>
    </w:pPr>
  </w:style>
  <w:style w:type="paragraph" w:customStyle="1" w:styleId="Copyright">
    <w:name w:val="Copyright"/>
    <w:basedOn w:val="Normal"/>
    <w:rsid w:val="0033719D"/>
    <w:pPr>
      <w:keepNext/>
      <w:keepLines/>
      <w:pBdr>
        <w:top w:val="single" w:sz="12" w:space="1" w:color="000000"/>
        <w:left w:val="single" w:sz="12" w:space="4" w:color="000000"/>
        <w:bottom w:val="single" w:sz="12" w:space="1" w:color="000000"/>
        <w:right w:val="single" w:sz="12" w:space="4" w:color="000000"/>
      </w:pBdr>
      <w:spacing w:before="1440" w:line="240" w:lineRule="auto"/>
    </w:pPr>
    <w:rPr>
      <w:b/>
      <w:color w:val="808080"/>
      <w:sz w:val="18"/>
    </w:rPr>
  </w:style>
  <w:style w:type="paragraph" w:customStyle="1" w:styleId="offset">
    <w:name w:val="offset"/>
    <w:basedOn w:val="Quote"/>
    <w:rsid w:val="0033719D"/>
    <w:pPr>
      <w:ind w:left="2268" w:right="0"/>
    </w:pPr>
    <w:rPr>
      <w:b/>
      <w:color w:val="000000"/>
    </w:rPr>
  </w:style>
  <w:style w:type="paragraph" w:styleId="EndnoteText">
    <w:name w:val="endnote text"/>
    <w:basedOn w:val="Normal"/>
    <w:semiHidden/>
    <w:rPr>
      <w:sz w:val="20"/>
    </w:rPr>
  </w:style>
  <w:style w:type="paragraph" w:styleId="FootnoteText">
    <w:name w:val="footnote text"/>
    <w:basedOn w:val="Normal"/>
    <w:semiHidden/>
    <w:rPr>
      <w:sz w:val="20"/>
    </w:rPr>
  </w:style>
  <w:style w:type="paragraph" w:customStyle="1" w:styleId="Authors">
    <w:name w:val="Author(s)"/>
    <w:basedOn w:val="Normal"/>
    <w:rsid w:val="002D31D4"/>
    <w:pPr>
      <w:keepNext/>
      <w:keepLines/>
      <w:spacing w:before="240" w:after="120" w:line="240" w:lineRule="auto"/>
    </w:pPr>
    <w:rPr>
      <w:b/>
      <w:i/>
      <w:color w:val="808080"/>
      <w:sz w:val="24"/>
      <w:szCs w:val="24"/>
    </w:rPr>
  </w:style>
  <w:style w:type="paragraph" w:customStyle="1" w:styleId="AuthorsDetials">
    <w:name w:val="Author(s) Detials"/>
    <w:basedOn w:val="Normal"/>
    <w:rsid w:val="002D31D4"/>
    <w:pPr>
      <w:keepNext/>
      <w:keepLines/>
      <w:spacing w:before="60" w:after="120" w:line="240" w:lineRule="auto"/>
    </w:pPr>
    <w:rPr>
      <w:color w:val="808080"/>
    </w:rPr>
  </w:style>
  <w:style w:type="paragraph" w:customStyle="1" w:styleId="Infobox">
    <w:name w:val="Info box"/>
    <w:basedOn w:val="Normal"/>
    <w:pPr>
      <w:keepNext/>
      <w:keepLines/>
      <w:pBdr>
        <w:top w:val="single" w:sz="12" w:space="1" w:color="800000"/>
        <w:left w:val="single" w:sz="12" w:space="4" w:color="800000"/>
        <w:bottom w:val="single" w:sz="12" w:space="1" w:color="800000"/>
        <w:right w:val="single" w:sz="12" w:space="4" w:color="800000"/>
      </w:pBdr>
      <w:shd w:val="clear" w:color="auto" w:fill="C0C0C0"/>
      <w:tabs>
        <w:tab w:val="left" w:pos="2835"/>
      </w:tabs>
      <w:spacing w:line="240" w:lineRule="auto"/>
      <w:ind w:left="1418" w:right="1418"/>
    </w:pPr>
    <w:rPr>
      <w:b/>
      <w:color w:val="800000"/>
      <w:sz w:val="18"/>
    </w:rPr>
  </w:style>
  <w:style w:type="paragraph" w:styleId="DocumentMap">
    <w:name w:val="Document Map"/>
    <w:basedOn w:val="Normal"/>
    <w:semiHidden/>
    <w:pPr>
      <w:shd w:val="clear" w:color="auto" w:fill="000080"/>
    </w:pPr>
    <w:rPr>
      <w:rFonts w:ascii="Tahoma" w:hAnsi="Tahoma" w:cs="Tahoma"/>
    </w:rPr>
  </w:style>
  <w:style w:type="character" w:styleId="FootnoteReference">
    <w:name w:val="footnote reference"/>
    <w:basedOn w:val="DefaultParagraphFont"/>
    <w:semiHidden/>
    <w:rPr>
      <w:vertAlign w:val="superscript"/>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567"/>
    </w:pPr>
  </w:style>
  <w:style w:type="paragraph" w:styleId="BodyText">
    <w:name w:val="Body Text"/>
    <w:basedOn w:val="Normal"/>
    <w:link w:val="BodyTextChar"/>
    <w:pPr>
      <w:spacing w:after="120"/>
    </w:pPr>
  </w:style>
  <w:style w:type="paragraph" w:styleId="Caption">
    <w:name w:val="caption"/>
    <w:basedOn w:val="Normal"/>
    <w:next w:val="Normal"/>
    <w:qFormat/>
    <w:pPr>
      <w:spacing w:before="120" w:after="120"/>
    </w:pPr>
    <w:rPr>
      <w:b/>
      <w:bCs/>
      <w:sz w:val="20"/>
    </w:rPr>
  </w:style>
  <w:style w:type="paragraph" w:styleId="CommentText">
    <w:name w:val="annotation text"/>
    <w:basedOn w:val="Normal"/>
    <w:semiHidden/>
    <w:rPr>
      <w:sz w:val="20"/>
    </w:rPr>
  </w:style>
  <w:style w:type="paragraph" w:styleId="Index1">
    <w:name w:val="index 1"/>
    <w:basedOn w:val="Normal"/>
    <w:next w:val="Normal"/>
    <w:autoRedefine/>
    <w:semiHidden/>
    <w:pPr>
      <w:tabs>
        <w:tab w:val="clear" w:pos="1418"/>
      </w:tabs>
      <w:ind w:left="220" w:hanging="220"/>
    </w:pPr>
  </w:style>
  <w:style w:type="paragraph" w:styleId="Index2">
    <w:name w:val="index 2"/>
    <w:basedOn w:val="Normal"/>
    <w:next w:val="Normal"/>
    <w:autoRedefine/>
    <w:semiHidden/>
    <w:pPr>
      <w:tabs>
        <w:tab w:val="clear" w:pos="1418"/>
      </w:tabs>
      <w:ind w:left="440" w:hanging="220"/>
    </w:pPr>
  </w:style>
  <w:style w:type="paragraph" w:styleId="Index3">
    <w:name w:val="index 3"/>
    <w:basedOn w:val="Normal"/>
    <w:next w:val="Normal"/>
    <w:autoRedefine/>
    <w:semiHidden/>
    <w:pPr>
      <w:tabs>
        <w:tab w:val="clear" w:pos="1418"/>
      </w:tabs>
      <w:ind w:left="660" w:hanging="220"/>
    </w:pPr>
  </w:style>
  <w:style w:type="paragraph" w:styleId="Index4">
    <w:name w:val="index 4"/>
    <w:basedOn w:val="Normal"/>
    <w:next w:val="Normal"/>
    <w:autoRedefine/>
    <w:semiHidden/>
    <w:pPr>
      <w:tabs>
        <w:tab w:val="clear" w:pos="1418"/>
      </w:tabs>
      <w:ind w:left="880" w:hanging="220"/>
    </w:pPr>
  </w:style>
  <w:style w:type="paragraph" w:styleId="Index5">
    <w:name w:val="index 5"/>
    <w:basedOn w:val="Normal"/>
    <w:next w:val="Normal"/>
    <w:autoRedefine/>
    <w:semiHidden/>
    <w:pPr>
      <w:tabs>
        <w:tab w:val="clear" w:pos="1418"/>
      </w:tabs>
      <w:ind w:left="1100" w:hanging="220"/>
    </w:pPr>
  </w:style>
  <w:style w:type="paragraph" w:styleId="Index6">
    <w:name w:val="index 6"/>
    <w:basedOn w:val="Normal"/>
    <w:next w:val="Normal"/>
    <w:autoRedefine/>
    <w:semiHidden/>
    <w:pPr>
      <w:tabs>
        <w:tab w:val="clear" w:pos="1418"/>
      </w:tabs>
      <w:ind w:left="1320" w:hanging="220"/>
    </w:pPr>
  </w:style>
  <w:style w:type="paragraph" w:styleId="Index7">
    <w:name w:val="index 7"/>
    <w:basedOn w:val="Normal"/>
    <w:next w:val="Normal"/>
    <w:autoRedefine/>
    <w:semiHidden/>
    <w:pPr>
      <w:tabs>
        <w:tab w:val="clear" w:pos="1418"/>
      </w:tabs>
      <w:ind w:left="1540" w:hanging="220"/>
    </w:pPr>
  </w:style>
  <w:style w:type="paragraph" w:styleId="Index8">
    <w:name w:val="index 8"/>
    <w:basedOn w:val="Normal"/>
    <w:next w:val="Normal"/>
    <w:autoRedefine/>
    <w:semiHidden/>
    <w:pPr>
      <w:tabs>
        <w:tab w:val="clear" w:pos="1418"/>
      </w:tabs>
      <w:ind w:left="1760" w:hanging="220"/>
    </w:pPr>
  </w:style>
  <w:style w:type="paragraph" w:styleId="Index9">
    <w:name w:val="index 9"/>
    <w:basedOn w:val="Normal"/>
    <w:next w:val="Normal"/>
    <w:autoRedefine/>
    <w:semiHidden/>
    <w:pPr>
      <w:tabs>
        <w:tab w:val="clear" w:pos="1418"/>
      </w:tabs>
      <w:ind w:left="1980" w:hanging="220"/>
    </w:pPr>
  </w:style>
  <w:style w:type="paragraph" w:styleId="IndexHeading">
    <w:name w:val="index heading"/>
    <w:basedOn w:val="Normal"/>
    <w:next w:val="Index1"/>
    <w:semiHidden/>
    <w:rPr>
      <w:rFonts w:cs="Arial"/>
      <w:b/>
      <w:bCs/>
    </w:rPr>
  </w:style>
  <w:style w:type="paragraph" w:styleId="ListBullet3">
    <w:name w:val="List Bullet 3"/>
    <w:basedOn w:val="Normal"/>
    <w:autoRedefine/>
    <w:pPr>
      <w:numPr>
        <w:numId w:val="7"/>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TableofAuthorities">
    <w:name w:val="table of authorities"/>
    <w:basedOn w:val="Normal"/>
    <w:next w:val="Normal"/>
    <w:semiHidden/>
    <w:pPr>
      <w:tabs>
        <w:tab w:val="clear" w:pos="1418"/>
      </w:tabs>
      <w:ind w:left="220" w:hanging="220"/>
    </w:pPr>
  </w:style>
  <w:style w:type="paragraph" w:styleId="TableofFigures">
    <w:name w:val="table of figures"/>
    <w:basedOn w:val="Normal"/>
    <w:next w:val="Normal"/>
    <w:semiHidden/>
    <w:pPr>
      <w:tabs>
        <w:tab w:val="clear" w:pos="1418"/>
      </w:tabs>
      <w:ind w:left="440" w:hanging="440"/>
    </w:pPr>
  </w:style>
  <w:style w:type="paragraph" w:styleId="TOAHeading">
    <w:name w:val="toa heading"/>
    <w:basedOn w:val="Normal"/>
    <w:next w:val="Normal"/>
    <w:semiHidden/>
    <w:pPr>
      <w:spacing w:before="120"/>
    </w:pPr>
    <w:rPr>
      <w:rFonts w:cs="Arial"/>
      <w:b/>
      <w:bCs/>
      <w:sz w:val="24"/>
      <w:szCs w:val="24"/>
    </w:rPr>
  </w:style>
  <w:style w:type="paragraph" w:styleId="TOC1">
    <w:name w:val="toc 1"/>
    <w:basedOn w:val="Normal"/>
    <w:next w:val="Normal"/>
    <w:autoRedefine/>
    <w:semiHidden/>
    <w:pPr>
      <w:tabs>
        <w:tab w:val="clear" w:pos="1418"/>
      </w:tabs>
    </w:pPr>
  </w:style>
  <w:style w:type="paragraph" w:styleId="TOC2">
    <w:name w:val="toc 2"/>
    <w:basedOn w:val="Normal"/>
    <w:next w:val="Normal"/>
    <w:autoRedefine/>
    <w:semiHidden/>
    <w:pPr>
      <w:tabs>
        <w:tab w:val="clear" w:pos="1418"/>
      </w:tabs>
      <w:ind w:left="220"/>
    </w:pPr>
  </w:style>
  <w:style w:type="paragraph" w:styleId="TOC3">
    <w:name w:val="toc 3"/>
    <w:basedOn w:val="Normal"/>
    <w:next w:val="Normal"/>
    <w:autoRedefine/>
    <w:semiHidden/>
    <w:pPr>
      <w:tabs>
        <w:tab w:val="clear" w:pos="1418"/>
      </w:tabs>
      <w:ind w:left="440"/>
    </w:pPr>
  </w:style>
  <w:style w:type="paragraph" w:styleId="TOC4">
    <w:name w:val="toc 4"/>
    <w:basedOn w:val="Normal"/>
    <w:next w:val="Normal"/>
    <w:autoRedefine/>
    <w:semiHidden/>
    <w:pPr>
      <w:tabs>
        <w:tab w:val="clear" w:pos="1418"/>
      </w:tabs>
      <w:ind w:left="660"/>
    </w:pPr>
  </w:style>
  <w:style w:type="paragraph" w:styleId="TOC5">
    <w:name w:val="toc 5"/>
    <w:basedOn w:val="Normal"/>
    <w:next w:val="Normal"/>
    <w:autoRedefine/>
    <w:semiHidden/>
    <w:pPr>
      <w:tabs>
        <w:tab w:val="clear" w:pos="1418"/>
      </w:tabs>
      <w:ind w:left="880"/>
    </w:pPr>
  </w:style>
  <w:style w:type="paragraph" w:styleId="TOC6">
    <w:name w:val="toc 6"/>
    <w:basedOn w:val="Normal"/>
    <w:next w:val="Normal"/>
    <w:autoRedefine/>
    <w:semiHidden/>
    <w:pPr>
      <w:tabs>
        <w:tab w:val="clear" w:pos="1418"/>
      </w:tabs>
      <w:ind w:left="1100"/>
    </w:pPr>
  </w:style>
  <w:style w:type="paragraph" w:styleId="TOC7">
    <w:name w:val="toc 7"/>
    <w:basedOn w:val="Normal"/>
    <w:next w:val="Normal"/>
    <w:autoRedefine/>
    <w:semiHidden/>
    <w:pPr>
      <w:tabs>
        <w:tab w:val="clear" w:pos="1418"/>
      </w:tabs>
      <w:ind w:left="1320"/>
    </w:pPr>
  </w:style>
  <w:style w:type="paragraph" w:styleId="TOC8">
    <w:name w:val="toc 8"/>
    <w:basedOn w:val="Normal"/>
    <w:next w:val="Normal"/>
    <w:autoRedefine/>
    <w:semiHidden/>
    <w:pPr>
      <w:tabs>
        <w:tab w:val="clear" w:pos="1418"/>
      </w:tabs>
      <w:ind w:left="1540"/>
    </w:pPr>
  </w:style>
  <w:style w:type="paragraph" w:styleId="TOC9">
    <w:name w:val="toc 9"/>
    <w:basedOn w:val="Normal"/>
    <w:next w:val="Normal"/>
    <w:autoRedefine/>
    <w:semiHidden/>
    <w:pPr>
      <w:tabs>
        <w:tab w:val="clear" w:pos="1418"/>
      </w:tabs>
      <w:ind w:left="1760"/>
    </w:pPr>
  </w:style>
  <w:style w:type="paragraph" w:styleId="BalloonText">
    <w:name w:val="Balloon Text"/>
    <w:basedOn w:val="Normal"/>
    <w:semiHidden/>
    <w:rsid w:val="006736E0"/>
    <w:rPr>
      <w:rFonts w:ascii="Tahoma" w:hAnsi="Tahoma" w:cs="Tahoma"/>
      <w:sz w:val="16"/>
      <w:szCs w:val="16"/>
    </w:rPr>
  </w:style>
  <w:style w:type="character" w:styleId="Hyperlink">
    <w:name w:val="Hyperlink"/>
    <w:basedOn w:val="DefaultParagraphFont"/>
    <w:rsid w:val="007E78F7"/>
    <w:rPr>
      <w:color w:val="003300"/>
      <w:u w:val="single"/>
    </w:rPr>
  </w:style>
  <w:style w:type="paragraph" w:customStyle="1" w:styleId="Documenttitle">
    <w:name w:val="Document title"/>
    <w:basedOn w:val="Heading1"/>
    <w:rsid w:val="002D31D4"/>
    <w:pPr>
      <w:spacing w:before="240"/>
    </w:pPr>
  </w:style>
  <w:style w:type="table" w:styleId="TableGrid">
    <w:name w:val="Table Grid"/>
    <w:basedOn w:val="TableNormal"/>
    <w:rsid w:val="002D31D4"/>
    <w:pPr>
      <w:widowControl w:val="0"/>
      <w:tabs>
        <w:tab w:val="left" w:pos="1418"/>
      </w:tabs>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s">
    <w:name w:val="sas"/>
    <w:basedOn w:val="Heading2"/>
    <w:rsid w:val="00B10BCD"/>
    <w:pPr>
      <w:spacing w:before="60"/>
    </w:pPr>
  </w:style>
  <w:style w:type="paragraph" w:customStyle="1" w:styleId="RSU">
    <w:name w:val="RSU"/>
    <w:basedOn w:val="Heading1"/>
    <w:rsid w:val="00CC22D1"/>
    <w:pPr>
      <w:spacing w:after="0"/>
    </w:pPr>
    <w:rPr>
      <w:sz w:val="36"/>
    </w:rPr>
  </w:style>
  <w:style w:type="character" w:styleId="Emphasis">
    <w:name w:val="Emphasis"/>
    <w:basedOn w:val="DefaultParagraphFont"/>
    <w:qFormat/>
    <w:rsid w:val="00C956A7"/>
    <w:rPr>
      <w:i/>
      <w:iCs/>
    </w:rPr>
  </w:style>
  <w:style w:type="character" w:styleId="EndnoteReference">
    <w:name w:val="endnote reference"/>
    <w:basedOn w:val="DefaultParagraphFont"/>
    <w:rsid w:val="00592A4B"/>
    <w:rPr>
      <w:vertAlign w:val="superscript"/>
    </w:rPr>
  </w:style>
  <w:style w:type="character" w:customStyle="1" w:styleId="HeaderChar">
    <w:name w:val="Header Char"/>
    <w:basedOn w:val="DefaultParagraphFont"/>
    <w:link w:val="Header"/>
    <w:uiPriority w:val="99"/>
    <w:rsid w:val="006E1C02"/>
    <w:rPr>
      <w:rFonts w:ascii="Arial" w:hAnsi="Arial"/>
      <w:b/>
      <w:color w:val="808080"/>
      <w:szCs w:val="22"/>
      <w:lang w:eastAsia="en-US"/>
    </w:rPr>
  </w:style>
  <w:style w:type="paragraph" w:customStyle="1" w:styleId="Footertext">
    <w:name w:val="Footer text"/>
    <w:basedOn w:val="Footer"/>
    <w:qFormat/>
    <w:rsid w:val="003E5D22"/>
    <w:rPr>
      <w:u w:val="none"/>
    </w:rPr>
  </w:style>
  <w:style w:type="character" w:customStyle="1" w:styleId="FooterChar">
    <w:name w:val="Footer Char"/>
    <w:aliases w:val="Footer title Char"/>
    <w:basedOn w:val="DefaultParagraphFont"/>
    <w:link w:val="Footer"/>
    <w:uiPriority w:val="99"/>
    <w:rsid w:val="00AB4372"/>
    <w:rPr>
      <w:rFonts w:ascii="Arial" w:hAnsi="Arial"/>
      <w:color w:val="000000" w:themeColor="text1"/>
      <w:sz w:val="16"/>
      <w:szCs w:val="22"/>
      <w:u w:val="single"/>
      <w:lang w:eastAsia="en-US"/>
    </w:rPr>
  </w:style>
  <w:style w:type="paragraph" w:styleId="ListParagraph">
    <w:name w:val="List Paragraph"/>
    <w:basedOn w:val="Normal"/>
    <w:uiPriority w:val="34"/>
    <w:qFormat/>
    <w:rsid w:val="00A20963"/>
    <w:pPr>
      <w:ind w:left="720"/>
      <w:contextualSpacing/>
    </w:pPr>
  </w:style>
  <w:style w:type="character" w:customStyle="1" w:styleId="BodyTextChar">
    <w:name w:val="Body Text Char"/>
    <w:basedOn w:val="DefaultParagraphFont"/>
    <w:link w:val="BodyText"/>
    <w:rsid w:val="008114B5"/>
    <w:rPr>
      <w:rFonts w:ascii="Arial" w:hAnsi="Arial"/>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9D"/>
    <w:pPr>
      <w:widowControl w:val="0"/>
      <w:tabs>
        <w:tab w:val="left" w:pos="1418"/>
      </w:tabs>
      <w:spacing w:line="360" w:lineRule="auto"/>
    </w:pPr>
    <w:rPr>
      <w:rFonts w:ascii="Arial" w:hAnsi="Arial"/>
      <w:sz w:val="22"/>
      <w:szCs w:val="22"/>
      <w:lang w:eastAsia="en-US"/>
    </w:rPr>
  </w:style>
  <w:style w:type="paragraph" w:styleId="Heading1">
    <w:name w:val="heading 1"/>
    <w:aliases w:val="Main Title"/>
    <w:basedOn w:val="Normal"/>
    <w:next w:val="Normal"/>
    <w:qFormat/>
    <w:rsid w:val="002D31D4"/>
    <w:pPr>
      <w:keepNext/>
      <w:spacing w:after="60" w:line="240" w:lineRule="auto"/>
      <w:outlineLvl w:val="0"/>
    </w:pPr>
    <w:rPr>
      <w:rFonts w:cs="Arial"/>
      <w:b/>
      <w:bCs/>
      <w:caps/>
      <w:color w:val="000000"/>
      <w:kern w:val="32"/>
      <w:sz w:val="24"/>
      <w:szCs w:val="24"/>
    </w:rPr>
  </w:style>
  <w:style w:type="paragraph" w:styleId="Heading2">
    <w:name w:val="heading 2"/>
    <w:aliases w:val="Secondary Title"/>
    <w:basedOn w:val="Normal"/>
    <w:next w:val="Normal"/>
    <w:qFormat/>
    <w:rsid w:val="004C21B0"/>
    <w:pPr>
      <w:keepNext/>
      <w:keepLines/>
      <w:spacing w:before="120" w:after="60" w:line="240" w:lineRule="auto"/>
      <w:outlineLvl w:val="1"/>
    </w:pPr>
    <w:rPr>
      <w:rFonts w:cs="Arial"/>
      <w:b/>
      <w:bCs/>
      <w:iCs/>
      <w:caps/>
      <w:color w:val="000000"/>
    </w:rPr>
  </w:style>
  <w:style w:type="paragraph" w:styleId="Heading3">
    <w:name w:val="heading 3"/>
    <w:aliases w:val="Section Heading"/>
    <w:basedOn w:val="Normal"/>
    <w:next w:val="Normal"/>
    <w:qFormat/>
    <w:rsid w:val="0033719D"/>
    <w:pPr>
      <w:keepNext/>
      <w:keepLines/>
      <w:spacing w:before="480" w:after="120"/>
      <w:outlineLvl w:val="2"/>
    </w:pPr>
    <w:rPr>
      <w:rFonts w:cs="Arial"/>
      <w:b/>
      <w:bCs/>
      <w:caps/>
      <w:color w:val="000000"/>
    </w:rPr>
  </w:style>
  <w:style w:type="paragraph" w:styleId="Heading4">
    <w:name w:val="heading 4"/>
    <w:aliases w:val="Paragraph Heading"/>
    <w:basedOn w:val="Normal"/>
    <w:next w:val="Normal"/>
    <w:qFormat/>
    <w:rsid w:val="0033719D"/>
    <w:pPr>
      <w:keepNext/>
      <w:keepLines/>
      <w:spacing w:before="240" w:after="120"/>
      <w:outlineLvl w:val="3"/>
    </w:pPr>
    <w:rPr>
      <w:b/>
      <w:bCs/>
      <w:color w:val="000000"/>
    </w:rPr>
  </w:style>
  <w:style w:type="paragraph" w:styleId="Heading5">
    <w:name w:val="heading 5"/>
    <w:aliases w:val="Sub-paragraph Heading"/>
    <w:basedOn w:val="Normal"/>
    <w:next w:val="Normal"/>
    <w:qFormat/>
    <w:rsid w:val="0033719D"/>
    <w:pPr>
      <w:keepNext/>
      <w:keepLines/>
      <w:spacing w:before="240" w:after="120"/>
      <w:outlineLvl w:val="4"/>
    </w:pPr>
    <w:rPr>
      <w:b/>
      <w:i/>
      <w:color w:val="000000"/>
    </w:rPr>
  </w:style>
  <w:style w:type="paragraph" w:styleId="Heading6">
    <w:name w:val="heading 6"/>
    <w:aliases w:val="Sub-sub-heading"/>
    <w:basedOn w:val="Normal"/>
    <w:next w:val="Normal"/>
    <w:qFormat/>
    <w:rsid w:val="0033719D"/>
    <w:pPr>
      <w:keepNext/>
      <w:keepLines/>
      <w:spacing w:before="240" w:after="120"/>
      <w:ind w:left="567"/>
      <w:outlineLvl w:val="5"/>
    </w:pPr>
    <w:rPr>
      <w:b/>
      <w:i/>
      <w:color w:val="000000"/>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keepNext/>
      <w:keepLines/>
      <w:pBdr>
        <w:top w:val="single" w:sz="12" w:space="1" w:color="808080"/>
        <w:bottom w:val="single" w:sz="12" w:space="1" w:color="808080"/>
      </w:pBdr>
      <w:tabs>
        <w:tab w:val="right" w:pos="9639"/>
      </w:tabs>
      <w:spacing w:after="120" w:line="180" w:lineRule="atLeast"/>
    </w:pPr>
    <w:rPr>
      <w:b/>
      <w:color w:val="808080"/>
      <w:sz w:val="20"/>
    </w:rPr>
  </w:style>
  <w:style w:type="paragraph" w:customStyle="1" w:styleId="Number">
    <w:name w:val="Number"/>
    <w:basedOn w:val="ListBullet"/>
    <w:rsid w:val="008E16F5"/>
    <w:pPr>
      <w:numPr>
        <w:numId w:val="1"/>
      </w:numPr>
      <w:spacing w:line="240" w:lineRule="auto"/>
    </w:pPr>
  </w:style>
  <w:style w:type="paragraph" w:styleId="ListBullet">
    <w:name w:val="List Bullet"/>
    <w:basedOn w:val="Normal"/>
    <w:autoRedefine/>
    <w:rsid w:val="00B50699"/>
    <w:pPr>
      <w:numPr>
        <w:numId w:val="5"/>
      </w:numPr>
      <w:spacing w:before="60" w:after="60"/>
    </w:pPr>
    <w:rPr>
      <w:color w:val="000000" w:themeColor="text1"/>
    </w:rPr>
  </w:style>
  <w:style w:type="paragraph" w:styleId="Quote">
    <w:name w:val="Quote"/>
    <w:basedOn w:val="Normal"/>
    <w:qFormat/>
    <w:pPr>
      <w:spacing w:before="60" w:after="60"/>
      <w:ind w:left="1134" w:right="1134"/>
    </w:pPr>
    <w:rPr>
      <w:i/>
    </w:rPr>
  </w:style>
  <w:style w:type="paragraph" w:styleId="Footer">
    <w:name w:val="footer"/>
    <w:aliases w:val="Footer title"/>
    <w:basedOn w:val="Normal"/>
    <w:link w:val="FooterChar"/>
    <w:uiPriority w:val="99"/>
    <w:rsid w:val="003E5D22"/>
    <w:pPr>
      <w:keepNext/>
      <w:keepLines/>
      <w:tabs>
        <w:tab w:val="right" w:pos="9185"/>
      </w:tabs>
      <w:spacing w:before="60" w:line="240" w:lineRule="auto"/>
    </w:pPr>
    <w:rPr>
      <w:color w:val="000000" w:themeColor="text1"/>
      <w:sz w:val="16"/>
      <w:u w:val="single"/>
    </w:rPr>
  </w:style>
  <w:style w:type="paragraph" w:customStyle="1" w:styleId="Textbox">
    <w:name w:val="Text box"/>
    <w:basedOn w:val="Normal"/>
    <w:rsid w:val="0033719D"/>
    <w:pPr>
      <w:keepNext/>
      <w:keepLines/>
      <w:shd w:val="clear" w:color="auto" w:fill="C0C0C0"/>
      <w:spacing w:before="240" w:after="60"/>
      <w:ind w:left="2835"/>
    </w:pPr>
    <w:rPr>
      <w:b/>
      <w:i/>
      <w:color w:val="000000"/>
    </w:rPr>
  </w:style>
  <w:style w:type="paragraph" w:customStyle="1" w:styleId="Table">
    <w:name w:val="Table"/>
    <w:basedOn w:val="Normal"/>
    <w:rsid w:val="0033719D"/>
    <w:pPr>
      <w:keepNext/>
      <w:keepLines/>
      <w:numPr>
        <w:numId w:val="3"/>
      </w:numPr>
      <w:spacing w:before="120" w:after="120" w:line="240" w:lineRule="auto"/>
    </w:pPr>
    <w:rPr>
      <w:b/>
      <w:color w:val="000000"/>
    </w:rPr>
  </w:style>
  <w:style w:type="paragraph" w:customStyle="1" w:styleId="Figure">
    <w:name w:val="Figure"/>
    <w:basedOn w:val="Normal"/>
    <w:rsid w:val="0033719D"/>
    <w:pPr>
      <w:keepNext/>
      <w:keepLines/>
      <w:numPr>
        <w:numId w:val="4"/>
      </w:numPr>
      <w:spacing w:before="120" w:after="480" w:line="240" w:lineRule="auto"/>
    </w:pPr>
    <w:rPr>
      <w:b/>
      <w:color w:val="000000"/>
    </w:rPr>
  </w:style>
  <w:style w:type="paragraph" w:customStyle="1" w:styleId="TableColTitleLeft">
    <w:name w:val="Table Col Title Left"/>
    <w:basedOn w:val="Normal"/>
    <w:rsid w:val="0033719D"/>
    <w:pPr>
      <w:suppressLineNumbers/>
      <w:suppressAutoHyphens/>
      <w:spacing w:before="120" w:after="120" w:line="240" w:lineRule="auto"/>
    </w:pPr>
    <w:rPr>
      <w:b/>
      <w:color w:val="000000"/>
    </w:rPr>
  </w:style>
  <w:style w:type="paragraph" w:customStyle="1" w:styleId="TableColTitleCentre">
    <w:name w:val="Table Col Title Centre"/>
    <w:basedOn w:val="TableColTitleLeft"/>
    <w:rsid w:val="0033719D"/>
    <w:pPr>
      <w:jc w:val="center"/>
    </w:pPr>
  </w:style>
  <w:style w:type="paragraph" w:customStyle="1" w:styleId="TableDataLeft">
    <w:name w:val="Table Data Left"/>
    <w:basedOn w:val="Normal"/>
    <w:rsid w:val="002A323B"/>
    <w:pPr>
      <w:keepNext/>
      <w:keepLines/>
      <w:spacing w:before="60" w:after="60" w:line="240" w:lineRule="auto"/>
    </w:pPr>
    <w:rPr>
      <w:color w:val="000000"/>
    </w:rPr>
  </w:style>
  <w:style w:type="paragraph" w:customStyle="1" w:styleId="TableDateCentre">
    <w:name w:val="Table Date Centre"/>
    <w:basedOn w:val="Normal"/>
    <w:rsid w:val="002A323B"/>
    <w:pPr>
      <w:keepNext/>
      <w:keepLines/>
      <w:spacing w:before="60" w:after="60" w:line="240" w:lineRule="auto"/>
      <w:jc w:val="center"/>
    </w:pPr>
    <w:rPr>
      <w:color w:val="000000"/>
    </w:rPr>
  </w:style>
  <w:style w:type="paragraph" w:styleId="ListBullet2">
    <w:name w:val="List Bullet 2"/>
    <w:basedOn w:val="Normal"/>
    <w:autoRedefine/>
    <w:pPr>
      <w:numPr>
        <w:numId w:val="6"/>
      </w:numPr>
    </w:pPr>
  </w:style>
  <w:style w:type="paragraph" w:customStyle="1" w:styleId="Copyright">
    <w:name w:val="Copyright"/>
    <w:basedOn w:val="Normal"/>
    <w:rsid w:val="0033719D"/>
    <w:pPr>
      <w:keepNext/>
      <w:keepLines/>
      <w:pBdr>
        <w:top w:val="single" w:sz="12" w:space="1" w:color="000000"/>
        <w:left w:val="single" w:sz="12" w:space="4" w:color="000000"/>
        <w:bottom w:val="single" w:sz="12" w:space="1" w:color="000000"/>
        <w:right w:val="single" w:sz="12" w:space="4" w:color="000000"/>
      </w:pBdr>
      <w:spacing w:before="1440" w:line="240" w:lineRule="auto"/>
    </w:pPr>
    <w:rPr>
      <w:b/>
      <w:color w:val="808080"/>
      <w:sz w:val="18"/>
    </w:rPr>
  </w:style>
  <w:style w:type="paragraph" w:customStyle="1" w:styleId="offset">
    <w:name w:val="offset"/>
    <w:basedOn w:val="Quote"/>
    <w:rsid w:val="0033719D"/>
    <w:pPr>
      <w:ind w:left="2268" w:right="0"/>
    </w:pPr>
    <w:rPr>
      <w:b/>
      <w:color w:val="000000"/>
    </w:rPr>
  </w:style>
  <w:style w:type="paragraph" w:styleId="EndnoteText">
    <w:name w:val="endnote text"/>
    <w:basedOn w:val="Normal"/>
    <w:semiHidden/>
    <w:rPr>
      <w:sz w:val="20"/>
    </w:rPr>
  </w:style>
  <w:style w:type="paragraph" w:styleId="FootnoteText">
    <w:name w:val="footnote text"/>
    <w:basedOn w:val="Normal"/>
    <w:semiHidden/>
    <w:rPr>
      <w:sz w:val="20"/>
    </w:rPr>
  </w:style>
  <w:style w:type="paragraph" w:customStyle="1" w:styleId="Authors">
    <w:name w:val="Author(s)"/>
    <w:basedOn w:val="Normal"/>
    <w:rsid w:val="002D31D4"/>
    <w:pPr>
      <w:keepNext/>
      <w:keepLines/>
      <w:spacing w:before="240" w:after="120" w:line="240" w:lineRule="auto"/>
    </w:pPr>
    <w:rPr>
      <w:b/>
      <w:i/>
      <w:color w:val="808080"/>
      <w:sz w:val="24"/>
      <w:szCs w:val="24"/>
    </w:rPr>
  </w:style>
  <w:style w:type="paragraph" w:customStyle="1" w:styleId="AuthorsDetials">
    <w:name w:val="Author(s) Detials"/>
    <w:basedOn w:val="Normal"/>
    <w:rsid w:val="002D31D4"/>
    <w:pPr>
      <w:keepNext/>
      <w:keepLines/>
      <w:spacing w:before="60" w:after="120" w:line="240" w:lineRule="auto"/>
    </w:pPr>
    <w:rPr>
      <w:color w:val="808080"/>
    </w:rPr>
  </w:style>
  <w:style w:type="paragraph" w:customStyle="1" w:styleId="Infobox">
    <w:name w:val="Info box"/>
    <w:basedOn w:val="Normal"/>
    <w:pPr>
      <w:keepNext/>
      <w:keepLines/>
      <w:pBdr>
        <w:top w:val="single" w:sz="12" w:space="1" w:color="800000"/>
        <w:left w:val="single" w:sz="12" w:space="4" w:color="800000"/>
        <w:bottom w:val="single" w:sz="12" w:space="1" w:color="800000"/>
        <w:right w:val="single" w:sz="12" w:space="4" w:color="800000"/>
      </w:pBdr>
      <w:shd w:val="clear" w:color="auto" w:fill="C0C0C0"/>
      <w:tabs>
        <w:tab w:val="left" w:pos="2835"/>
      </w:tabs>
      <w:spacing w:line="240" w:lineRule="auto"/>
      <w:ind w:left="1418" w:right="1418"/>
    </w:pPr>
    <w:rPr>
      <w:b/>
      <w:color w:val="800000"/>
      <w:sz w:val="18"/>
    </w:rPr>
  </w:style>
  <w:style w:type="paragraph" w:styleId="DocumentMap">
    <w:name w:val="Document Map"/>
    <w:basedOn w:val="Normal"/>
    <w:semiHidden/>
    <w:pPr>
      <w:shd w:val="clear" w:color="auto" w:fill="000080"/>
    </w:pPr>
    <w:rPr>
      <w:rFonts w:ascii="Tahoma" w:hAnsi="Tahoma" w:cs="Tahoma"/>
    </w:rPr>
  </w:style>
  <w:style w:type="character" w:styleId="FootnoteReference">
    <w:name w:val="footnote reference"/>
    <w:basedOn w:val="DefaultParagraphFont"/>
    <w:semiHidden/>
    <w:rPr>
      <w:vertAlign w:val="superscript"/>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567"/>
    </w:pPr>
  </w:style>
  <w:style w:type="paragraph" w:styleId="BodyText">
    <w:name w:val="Body Text"/>
    <w:basedOn w:val="Normal"/>
    <w:link w:val="BodyTextChar"/>
    <w:pPr>
      <w:spacing w:after="120"/>
    </w:pPr>
  </w:style>
  <w:style w:type="paragraph" w:styleId="Caption">
    <w:name w:val="caption"/>
    <w:basedOn w:val="Normal"/>
    <w:next w:val="Normal"/>
    <w:qFormat/>
    <w:pPr>
      <w:spacing w:before="120" w:after="120"/>
    </w:pPr>
    <w:rPr>
      <w:b/>
      <w:bCs/>
      <w:sz w:val="20"/>
    </w:rPr>
  </w:style>
  <w:style w:type="paragraph" w:styleId="CommentText">
    <w:name w:val="annotation text"/>
    <w:basedOn w:val="Normal"/>
    <w:semiHidden/>
    <w:rPr>
      <w:sz w:val="20"/>
    </w:rPr>
  </w:style>
  <w:style w:type="paragraph" w:styleId="Index1">
    <w:name w:val="index 1"/>
    <w:basedOn w:val="Normal"/>
    <w:next w:val="Normal"/>
    <w:autoRedefine/>
    <w:semiHidden/>
    <w:pPr>
      <w:tabs>
        <w:tab w:val="clear" w:pos="1418"/>
      </w:tabs>
      <w:ind w:left="220" w:hanging="220"/>
    </w:pPr>
  </w:style>
  <w:style w:type="paragraph" w:styleId="Index2">
    <w:name w:val="index 2"/>
    <w:basedOn w:val="Normal"/>
    <w:next w:val="Normal"/>
    <w:autoRedefine/>
    <w:semiHidden/>
    <w:pPr>
      <w:tabs>
        <w:tab w:val="clear" w:pos="1418"/>
      </w:tabs>
      <w:ind w:left="440" w:hanging="220"/>
    </w:pPr>
  </w:style>
  <w:style w:type="paragraph" w:styleId="Index3">
    <w:name w:val="index 3"/>
    <w:basedOn w:val="Normal"/>
    <w:next w:val="Normal"/>
    <w:autoRedefine/>
    <w:semiHidden/>
    <w:pPr>
      <w:tabs>
        <w:tab w:val="clear" w:pos="1418"/>
      </w:tabs>
      <w:ind w:left="660" w:hanging="220"/>
    </w:pPr>
  </w:style>
  <w:style w:type="paragraph" w:styleId="Index4">
    <w:name w:val="index 4"/>
    <w:basedOn w:val="Normal"/>
    <w:next w:val="Normal"/>
    <w:autoRedefine/>
    <w:semiHidden/>
    <w:pPr>
      <w:tabs>
        <w:tab w:val="clear" w:pos="1418"/>
      </w:tabs>
      <w:ind w:left="880" w:hanging="220"/>
    </w:pPr>
  </w:style>
  <w:style w:type="paragraph" w:styleId="Index5">
    <w:name w:val="index 5"/>
    <w:basedOn w:val="Normal"/>
    <w:next w:val="Normal"/>
    <w:autoRedefine/>
    <w:semiHidden/>
    <w:pPr>
      <w:tabs>
        <w:tab w:val="clear" w:pos="1418"/>
      </w:tabs>
      <w:ind w:left="1100" w:hanging="220"/>
    </w:pPr>
  </w:style>
  <w:style w:type="paragraph" w:styleId="Index6">
    <w:name w:val="index 6"/>
    <w:basedOn w:val="Normal"/>
    <w:next w:val="Normal"/>
    <w:autoRedefine/>
    <w:semiHidden/>
    <w:pPr>
      <w:tabs>
        <w:tab w:val="clear" w:pos="1418"/>
      </w:tabs>
      <w:ind w:left="1320" w:hanging="220"/>
    </w:pPr>
  </w:style>
  <w:style w:type="paragraph" w:styleId="Index7">
    <w:name w:val="index 7"/>
    <w:basedOn w:val="Normal"/>
    <w:next w:val="Normal"/>
    <w:autoRedefine/>
    <w:semiHidden/>
    <w:pPr>
      <w:tabs>
        <w:tab w:val="clear" w:pos="1418"/>
      </w:tabs>
      <w:ind w:left="1540" w:hanging="220"/>
    </w:pPr>
  </w:style>
  <w:style w:type="paragraph" w:styleId="Index8">
    <w:name w:val="index 8"/>
    <w:basedOn w:val="Normal"/>
    <w:next w:val="Normal"/>
    <w:autoRedefine/>
    <w:semiHidden/>
    <w:pPr>
      <w:tabs>
        <w:tab w:val="clear" w:pos="1418"/>
      </w:tabs>
      <w:ind w:left="1760" w:hanging="220"/>
    </w:pPr>
  </w:style>
  <w:style w:type="paragraph" w:styleId="Index9">
    <w:name w:val="index 9"/>
    <w:basedOn w:val="Normal"/>
    <w:next w:val="Normal"/>
    <w:autoRedefine/>
    <w:semiHidden/>
    <w:pPr>
      <w:tabs>
        <w:tab w:val="clear" w:pos="1418"/>
      </w:tabs>
      <w:ind w:left="1980" w:hanging="220"/>
    </w:pPr>
  </w:style>
  <w:style w:type="paragraph" w:styleId="IndexHeading">
    <w:name w:val="index heading"/>
    <w:basedOn w:val="Normal"/>
    <w:next w:val="Index1"/>
    <w:semiHidden/>
    <w:rPr>
      <w:rFonts w:cs="Arial"/>
      <w:b/>
      <w:bCs/>
    </w:rPr>
  </w:style>
  <w:style w:type="paragraph" w:styleId="ListBullet3">
    <w:name w:val="List Bullet 3"/>
    <w:basedOn w:val="Normal"/>
    <w:autoRedefine/>
    <w:pPr>
      <w:numPr>
        <w:numId w:val="7"/>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TableofAuthorities">
    <w:name w:val="table of authorities"/>
    <w:basedOn w:val="Normal"/>
    <w:next w:val="Normal"/>
    <w:semiHidden/>
    <w:pPr>
      <w:tabs>
        <w:tab w:val="clear" w:pos="1418"/>
      </w:tabs>
      <w:ind w:left="220" w:hanging="220"/>
    </w:pPr>
  </w:style>
  <w:style w:type="paragraph" w:styleId="TableofFigures">
    <w:name w:val="table of figures"/>
    <w:basedOn w:val="Normal"/>
    <w:next w:val="Normal"/>
    <w:semiHidden/>
    <w:pPr>
      <w:tabs>
        <w:tab w:val="clear" w:pos="1418"/>
      </w:tabs>
      <w:ind w:left="440" w:hanging="440"/>
    </w:pPr>
  </w:style>
  <w:style w:type="paragraph" w:styleId="TOAHeading">
    <w:name w:val="toa heading"/>
    <w:basedOn w:val="Normal"/>
    <w:next w:val="Normal"/>
    <w:semiHidden/>
    <w:pPr>
      <w:spacing w:before="120"/>
    </w:pPr>
    <w:rPr>
      <w:rFonts w:cs="Arial"/>
      <w:b/>
      <w:bCs/>
      <w:sz w:val="24"/>
      <w:szCs w:val="24"/>
    </w:rPr>
  </w:style>
  <w:style w:type="paragraph" w:styleId="TOC1">
    <w:name w:val="toc 1"/>
    <w:basedOn w:val="Normal"/>
    <w:next w:val="Normal"/>
    <w:autoRedefine/>
    <w:semiHidden/>
    <w:pPr>
      <w:tabs>
        <w:tab w:val="clear" w:pos="1418"/>
      </w:tabs>
    </w:pPr>
  </w:style>
  <w:style w:type="paragraph" w:styleId="TOC2">
    <w:name w:val="toc 2"/>
    <w:basedOn w:val="Normal"/>
    <w:next w:val="Normal"/>
    <w:autoRedefine/>
    <w:semiHidden/>
    <w:pPr>
      <w:tabs>
        <w:tab w:val="clear" w:pos="1418"/>
      </w:tabs>
      <w:ind w:left="220"/>
    </w:pPr>
  </w:style>
  <w:style w:type="paragraph" w:styleId="TOC3">
    <w:name w:val="toc 3"/>
    <w:basedOn w:val="Normal"/>
    <w:next w:val="Normal"/>
    <w:autoRedefine/>
    <w:semiHidden/>
    <w:pPr>
      <w:tabs>
        <w:tab w:val="clear" w:pos="1418"/>
      </w:tabs>
      <w:ind w:left="440"/>
    </w:pPr>
  </w:style>
  <w:style w:type="paragraph" w:styleId="TOC4">
    <w:name w:val="toc 4"/>
    <w:basedOn w:val="Normal"/>
    <w:next w:val="Normal"/>
    <w:autoRedefine/>
    <w:semiHidden/>
    <w:pPr>
      <w:tabs>
        <w:tab w:val="clear" w:pos="1418"/>
      </w:tabs>
      <w:ind w:left="660"/>
    </w:pPr>
  </w:style>
  <w:style w:type="paragraph" w:styleId="TOC5">
    <w:name w:val="toc 5"/>
    <w:basedOn w:val="Normal"/>
    <w:next w:val="Normal"/>
    <w:autoRedefine/>
    <w:semiHidden/>
    <w:pPr>
      <w:tabs>
        <w:tab w:val="clear" w:pos="1418"/>
      </w:tabs>
      <w:ind w:left="880"/>
    </w:pPr>
  </w:style>
  <w:style w:type="paragraph" w:styleId="TOC6">
    <w:name w:val="toc 6"/>
    <w:basedOn w:val="Normal"/>
    <w:next w:val="Normal"/>
    <w:autoRedefine/>
    <w:semiHidden/>
    <w:pPr>
      <w:tabs>
        <w:tab w:val="clear" w:pos="1418"/>
      </w:tabs>
      <w:ind w:left="1100"/>
    </w:pPr>
  </w:style>
  <w:style w:type="paragraph" w:styleId="TOC7">
    <w:name w:val="toc 7"/>
    <w:basedOn w:val="Normal"/>
    <w:next w:val="Normal"/>
    <w:autoRedefine/>
    <w:semiHidden/>
    <w:pPr>
      <w:tabs>
        <w:tab w:val="clear" w:pos="1418"/>
      </w:tabs>
      <w:ind w:left="1320"/>
    </w:pPr>
  </w:style>
  <w:style w:type="paragraph" w:styleId="TOC8">
    <w:name w:val="toc 8"/>
    <w:basedOn w:val="Normal"/>
    <w:next w:val="Normal"/>
    <w:autoRedefine/>
    <w:semiHidden/>
    <w:pPr>
      <w:tabs>
        <w:tab w:val="clear" w:pos="1418"/>
      </w:tabs>
      <w:ind w:left="1540"/>
    </w:pPr>
  </w:style>
  <w:style w:type="paragraph" w:styleId="TOC9">
    <w:name w:val="toc 9"/>
    <w:basedOn w:val="Normal"/>
    <w:next w:val="Normal"/>
    <w:autoRedefine/>
    <w:semiHidden/>
    <w:pPr>
      <w:tabs>
        <w:tab w:val="clear" w:pos="1418"/>
      </w:tabs>
      <w:ind w:left="1760"/>
    </w:pPr>
  </w:style>
  <w:style w:type="paragraph" w:styleId="BalloonText">
    <w:name w:val="Balloon Text"/>
    <w:basedOn w:val="Normal"/>
    <w:semiHidden/>
    <w:rsid w:val="006736E0"/>
    <w:rPr>
      <w:rFonts w:ascii="Tahoma" w:hAnsi="Tahoma" w:cs="Tahoma"/>
      <w:sz w:val="16"/>
      <w:szCs w:val="16"/>
    </w:rPr>
  </w:style>
  <w:style w:type="character" w:styleId="Hyperlink">
    <w:name w:val="Hyperlink"/>
    <w:basedOn w:val="DefaultParagraphFont"/>
    <w:rsid w:val="007E78F7"/>
    <w:rPr>
      <w:color w:val="003300"/>
      <w:u w:val="single"/>
    </w:rPr>
  </w:style>
  <w:style w:type="paragraph" w:customStyle="1" w:styleId="Documenttitle">
    <w:name w:val="Document title"/>
    <w:basedOn w:val="Heading1"/>
    <w:rsid w:val="002D31D4"/>
    <w:pPr>
      <w:spacing w:before="240"/>
    </w:pPr>
  </w:style>
  <w:style w:type="table" w:styleId="TableGrid">
    <w:name w:val="Table Grid"/>
    <w:basedOn w:val="TableNormal"/>
    <w:rsid w:val="002D31D4"/>
    <w:pPr>
      <w:widowControl w:val="0"/>
      <w:tabs>
        <w:tab w:val="left" w:pos="1418"/>
      </w:tabs>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s">
    <w:name w:val="sas"/>
    <w:basedOn w:val="Heading2"/>
    <w:rsid w:val="00B10BCD"/>
    <w:pPr>
      <w:spacing w:before="60"/>
    </w:pPr>
  </w:style>
  <w:style w:type="paragraph" w:customStyle="1" w:styleId="RSU">
    <w:name w:val="RSU"/>
    <w:basedOn w:val="Heading1"/>
    <w:rsid w:val="00CC22D1"/>
    <w:pPr>
      <w:spacing w:after="0"/>
    </w:pPr>
    <w:rPr>
      <w:sz w:val="36"/>
    </w:rPr>
  </w:style>
  <w:style w:type="character" w:styleId="Emphasis">
    <w:name w:val="Emphasis"/>
    <w:basedOn w:val="DefaultParagraphFont"/>
    <w:qFormat/>
    <w:rsid w:val="00C956A7"/>
    <w:rPr>
      <w:i/>
      <w:iCs/>
    </w:rPr>
  </w:style>
  <w:style w:type="character" w:styleId="EndnoteReference">
    <w:name w:val="endnote reference"/>
    <w:basedOn w:val="DefaultParagraphFont"/>
    <w:rsid w:val="00592A4B"/>
    <w:rPr>
      <w:vertAlign w:val="superscript"/>
    </w:rPr>
  </w:style>
  <w:style w:type="character" w:customStyle="1" w:styleId="HeaderChar">
    <w:name w:val="Header Char"/>
    <w:basedOn w:val="DefaultParagraphFont"/>
    <w:link w:val="Header"/>
    <w:uiPriority w:val="99"/>
    <w:rsid w:val="006E1C02"/>
    <w:rPr>
      <w:rFonts w:ascii="Arial" w:hAnsi="Arial"/>
      <w:b/>
      <w:color w:val="808080"/>
      <w:szCs w:val="22"/>
      <w:lang w:eastAsia="en-US"/>
    </w:rPr>
  </w:style>
  <w:style w:type="paragraph" w:customStyle="1" w:styleId="Footertext">
    <w:name w:val="Footer text"/>
    <w:basedOn w:val="Footer"/>
    <w:qFormat/>
    <w:rsid w:val="003E5D22"/>
    <w:rPr>
      <w:u w:val="none"/>
    </w:rPr>
  </w:style>
  <w:style w:type="character" w:customStyle="1" w:styleId="FooterChar">
    <w:name w:val="Footer Char"/>
    <w:aliases w:val="Footer title Char"/>
    <w:basedOn w:val="DefaultParagraphFont"/>
    <w:link w:val="Footer"/>
    <w:uiPriority w:val="99"/>
    <w:rsid w:val="00AB4372"/>
    <w:rPr>
      <w:rFonts w:ascii="Arial" w:hAnsi="Arial"/>
      <w:color w:val="000000" w:themeColor="text1"/>
      <w:sz w:val="16"/>
      <w:szCs w:val="22"/>
      <w:u w:val="single"/>
      <w:lang w:eastAsia="en-US"/>
    </w:rPr>
  </w:style>
  <w:style w:type="paragraph" w:styleId="ListParagraph">
    <w:name w:val="List Paragraph"/>
    <w:basedOn w:val="Normal"/>
    <w:uiPriority w:val="34"/>
    <w:qFormat/>
    <w:rsid w:val="00A20963"/>
    <w:pPr>
      <w:ind w:left="720"/>
      <w:contextualSpacing/>
    </w:pPr>
  </w:style>
  <w:style w:type="character" w:customStyle="1" w:styleId="BodyTextChar">
    <w:name w:val="Body Text Char"/>
    <w:basedOn w:val="DefaultParagraphFont"/>
    <w:link w:val="BodyText"/>
    <w:rsid w:val="008114B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11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pp.manchester.ac.uk/public/Login.aspx?PageRequest=/myprofile/training/default.aspx&amp;action=timeout" TargetMode="External"/><Relationship Id="rId12" Type="http://schemas.openxmlformats.org/officeDocument/2006/relationships/hyperlink" Target="http://www.occhealth.manchester.ac.uk/documents" TargetMode="External"/><Relationship Id="rId13" Type="http://schemas.openxmlformats.org/officeDocument/2006/relationships/hyperlink" Target="http://www.staffnet.manchester.ac.uk/rsu/ionising-radiation/radiation-laboratory-design-guidance-note/"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staffnet.manchester.ac.uk/rsu/ionising-radi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General-Services\SAS\Radiation\Templates\20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CC7F4-141F-DB41-9871-344D9FD6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\General-Services\SAS\Radiation\Templates\2006.dot</Template>
  <TotalTime>32</TotalTime>
  <Pages>11</Pages>
  <Words>3015</Words>
  <Characters>17187</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1</vt:lpstr>
    </vt:vector>
  </TitlesOfParts>
  <Company>University of Leeds</Company>
  <LinksUpToDate>false</LinksUpToDate>
  <CharactersWithSpaces>20162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Dr I K Haslam</dc:creator>
  <cp:lastModifiedBy>Ian Haslam</cp:lastModifiedBy>
  <cp:revision>14</cp:revision>
  <cp:lastPrinted>2010-01-15T15:04:00Z</cp:lastPrinted>
  <dcterms:created xsi:type="dcterms:W3CDTF">2020-01-14T13:12:00Z</dcterms:created>
  <dcterms:modified xsi:type="dcterms:W3CDTF">2020-09-28T13:01:00Z</dcterms:modified>
</cp:coreProperties>
</file>