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5B" w:rsidRPr="00974457" w:rsidRDefault="0041648A" w:rsidP="0041648A">
      <w:pPr>
        <w:spacing w:after="0" w:line="240" w:lineRule="auto"/>
        <w:rPr>
          <w:sz w:val="28"/>
          <w:szCs w:val="28"/>
        </w:rPr>
      </w:pPr>
      <w:r w:rsidRPr="004E3DBB">
        <w:rPr>
          <w:b/>
          <w:sz w:val="28"/>
          <w:szCs w:val="28"/>
          <w:u w:val="single"/>
        </w:rPr>
        <w:t>Donations and Endowments De Minimis Threshold</w:t>
      </w:r>
    </w:p>
    <w:p w:rsidR="000079D3" w:rsidRDefault="000079D3" w:rsidP="0041648A">
      <w:pPr>
        <w:spacing w:after="0" w:line="240" w:lineRule="auto"/>
      </w:pPr>
    </w:p>
    <w:p w:rsidR="0041648A" w:rsidRDefault="0041648A" w:rsidP="0041648A">
      <w:pPr>
        <w:spacing w:after="0" w:line="240" w:lineRule="auto"/>
        <w:rPr>
          <w:b/>
          <w:u w:val="single"/>
        </w:rPr>
      </w:pPr>
      <w:r>
        <w:rPr>
          <w:b/>
          <w:u w:val="single"/>
        </w:rPr>
        <w:t>Purpose</w:t>
      </w:r>
    </w:p>
    <w:p w:rsidR="0041648A" w:rsidRDefault="0041648A" w:rsidP="0041648A">
      <w:pPr>
        <w:spacing w:after="0" w:line="240" w:lineRule="auto"/>
      </w:pPr>
      <w:r>
        <w:t>The purpose of this paper is to propose the implementation of new</w:t>
      </w:r>
      <w:r w:rsidR="00AF4A68">
        <w:t xml:space="preserve"> recommended</w:t>
      </w:r>
      <w:r>
        <w:t xml:space="preserve"> de </w:t>
      </w:r>
      <w:proofErr w:type="spellStart"/>
      <w:r>
        <w:t>minimis</w:t>
      </w:r>
      <w:proofErr w:type="spellEnd"/>
      <w:r>
        <w:t xml:space="preserve"> thresholds to be used when accounting for donations and endowments.</w:t>
      </w:r>
    </w:p>
    <w:p w:rsidR="00AF4A68" w:rsidRDefault="00AF4A68" w:rsidP="0041648A">
      <w:pPr>
        <w:spacing w:after="0" w:line="240" w:lineRule="auto"/>
      </w:pPr>
    </w:p>
    <w:p w:rsidR="00AF4A68" w:rsidRPr="00AF4A68" w:rsidRDefault="00AF4A68" w:rsidP="00AF4A68">
      <w:pPr>
        <w:spacing w:after="0" w:line="240" w:lineRule="auto"/>
        <w:rPr>
          <w:b/>
          <w:u w:val="single"/>
        </w:rPr>
      </w:pPr>
      <w:r w:rsidRPr="00AF4A68">
        <w:rPr>
          <w:b/>
          <w:u w:val="single"/>
        </w:rPr>
        <w:t>Principle</w:t>
      </w:r>
    </w:p>
    <w:p w:rsidR="00696D6E" w:rsidRDefault="00696D6E" w:rsidP="0041648A">
      <w:pPr>
        <w:spacing w:after="0" w:line="240" w:lineRule="auto"/>
      </w:pPr>
      <w:r>
        <w:t>When the words</w:t>
      </w:r>
      <w:r w:rsidR="00AF4A68">
        <w:t xml:space="preserve"> ‘restricted’ and ‘unrestricted’ are used in this paper these</w:t>
      </w:r>
      <w:r>
        <w:t xml:space="preserve"> words</w:t>
      </w:r>
      <w:r w:rsidR="00AF4A68">
        <w:t xml:space="preserve"> have specific meanings in accountancy term</w:t>
      </w:r>
      <w:r>
        <w:t>inology, which may differ from how they are more</w:t>
      </w:r>
      <w:r w:rsidR="00AF4A68">
        <w:t xml:space="preserve"> common</w:t>
      </w:r>
      <w:r>
        <w:t>ly understood.</w:t>
      </w:r>
    </w:p>
    <w:p w:rsidR="00696D6E" w:rsidRDefault="00696D6E" w:rsidP="0041648A">
      <w:pPr>
        <w:spacing w:after="0" w:line="240" w:lineRule="auto"/>
      </w:pPr>
    </w:p>
    <w:p w:rsidR="00AF4A68" w:rsidRPr="00AF4A68" w:rsidRDefault="00696D6E" w:rsidP="0041648A">
      <w:pPr>
        <w:spacing w:after="0" w:line="240" w:lineRule="auto"/>
      </w:pPr>
      <w:r w:rsidRPr="00696D6E">
        <w:rPr>
          <w:b/>
        </w:rPr>
        <w:t xml:space="preserve">Please note that, </w:t>
      </w:r>
      <w:r w:rsidRPr="00696D6E">
        <w:rPr>
          <w:rFonts w:ascii="Calibri" w:eastAsia="Symbol" w:hAnsi="Calibri" w:cs="Symbol"/>
          <w:b/>
          <w:color w:val="000000"/>
          <w:lang w:eastAsia="en-GB"/>
        </w:rPr>
        <w:t>regardless of how the donation is classified for accounting purposes, the</w:t>
      </w:r>
      <w:r w:rsidRPr="00AA396B">
        <w:rPr>
          <w:rFonts w:ascii="Calibri" w:eastAsia="Symbol" w:hAnsi="Calibri" w:cs="Symbol"/>
          <w:b/>
          <w:color w:val="000000"/>
          <w:lang w:eastAsia="en-GB"/>
        </w:rPr>
        <w:t xml:space="preserve"> University will ensure that, for all donations, the spirit and intent of the original benefaction is maintained.</w:t>
      </w:r>
      <w:r w:rsidR="00DF0DD9">
        <w:rPr>
          <w:rFonts w:ascii="Calibri" w:eastAsia="Symbol" w:hAnsi="Calibri" w:cs="Symbol"/>
          <w:b/>
          <w:color w:val="000000"/>
          <w:lang w:eastAsia="en-GB"/>
        </w:rPr>
        <w:t xml:space="preserve">  A donation will only be spent in line with the donor’s spirit and intent.</w:t>
      </w:r>
      <w:r w:rsidRPr="00AA396B">
        <w:rPr>
          <w:rFonts w:ascii="Calibri" w:eastAsia="Symbol" w:hAnsi="Calibri" w:cs="Symbol"/>
          <w:color w:val="000000"/>
          <w:lang w:eastAsia="en-GB"/>
        </w:rPr>
        <w:t xml:space="preserve"> </w:t>
      </w:r>
      <w:r>
        <w:rPr>
          <w:rFonts w:ascii="Calibri" w:eastAsia="Symbol" w:hAnsi="Calibri" w:cs="Symbol"/>
          <w:color w:val="000000"/>
          <w:lang w:eastAsia="en-GB"/>
        </w:rPr>
        <w:t xml:space="preserve">  </w:t>
      </w:r>
    </w:p>
    <w:p w:rsidR="00AF4A68" w:rsidRDefault="00AF4A68" w:rsidP="0041648A">
      <w:pPr>
        <w:spacing w:after="0" w:line="240" w:lineRule="auto"/>
        <w:rPr>
          <w:b/>
          <w:u w:val="single"/>
        </w:rPr>
      </w:pPr>
    </w:p>
    <w:p w:rsidR="0041648A" w:rsidRDefault="0041648A" w:rsidP="0041648A">
      <w:pPr>
        <w:spacing w:after="0" w:line="240" w:lineRule="auto"/>
        <w:rPr>
          <w:b/>
          <w:u w:val="single"/>
        </w:rPr>
      </w:pPr>
      <w:r w:rsidRPr="0041648A">
        <w:rPr>
          <w:b/>
          <w:u w:val="single"/>
        </w:rPr>
        <w:t>Rationale</w:t>
      </w:r>
    </w:p>
    <w:p w:rsidR="0041648A" w:rsidRDefault="0041648A" w:rsidP="0041648A">
      <w:pPr>
        <w:spacing w:after="0" w:line="240" w:lineRule="auto"/>
      </w:pPr>
      <w:r>
        <w:t xml:space="preserve">The University is currently undergoing a review of </w:t>
      </w:r>
      <w:r w:rsidR="003158DB">
        <w:t>all accounting processes that will be affected by the i</w:t>
      </w:r>
      <w:r w:rsidR="00C71509">
        <w:t>mplement</w:t>
      </w:r>
      <w:r w:rsidR="003158DB">
        <w:t>ation of</w:t>
      </w:r>
      <w:r w:rsidR="00CE271F">
        <w:t xml:space="preserve"> the </w:t>
      </w:r>
      <w:r w:rsidR="00C71509">
        <w:t xml:space="preserve">2015 </w:t>
      </w:r>
      <w:r>
        <w:t>SORP</w:t>
      </w:r>
      <w:r w:rsidR="00CE271F">
        <w:t xml:space="preserve"> (and FRS 102)</w:t>
      </w:r>
      <w:r>
        <w:t>.</w:t>
      </w:r>
    </w:p>
    <w:p w:rsidR="0041648A" w:rsidRDefault="0041648A" w:rsidP="0041648A">
      <w:pPr>
        <w:spacing w:after="0" w:line="240" w:lineRule="auto"/>
      </w:pPr>
    </w:p>
    <w:p w:rsidR="00B51272" w:rsidRDefault="00C71509" w:rsidP="0041648A">
      <w:pPr>
        <w:spacing w:after="0" w:line="240" w:lineRule="auto"/>
      </w:pPr>
      <w:r>
        <w:t>The implementation of</w:t>
      </w:r>
      <w:r w:rsidR="00CE271F">
        <w:t xml:space="preserve"> the </w:t>
      </w:r>
      <w:r>
        <w:t xml:space="preserve">2015 SORP </w:t>
      </w:r>
      <w:r w:rsidR="003158DB">
        <w:t>introduces an additional level of complexity into the accounting treatment of donations and endowments, due to</w:t>
      </w:r>
      <w:r w:rsidR="009D6D6A">
        <w:t xml:space="preserve"> introducing new classifications of donation, and due to</w:t>
      </w:r>
      <w:r w:rsidR="003158DB">
        <w:t xml:space="preserve"> the new requirement to differentiate between restricted and unrestricted reserves.</w:t>
      </w:r>
    </w:p>
    <w:p w:rsidR="00B51272" w:rsidRDefault="00B51272" w:rsidP="0041648A">
      <w:pPr>
        <w:spacing w:after="0" w:line="240" w:lineRule="auto"/>
      </w:pPr>
    </w:p>
    <w:p w:rsidR="009D6D6A" w:rsidRDefault="003158DB" w:rsidP="0041648A">
      <w:pPr>
        <w:spacing w:after="0" w:line="240" w:lineRule="auto"/>
      </w:pPr>
      <w:r>
        <w:t>The more complex an accounting treatment is, then the more accounting transactions that the University will need to process.  The higher the volume of accounting transactions, then the greater</w:t>
      </w:r>
      <w:r w:rsidR="009A3442">
        <w:t xml:space="preserve"> the</w:t>
      </w:r>
      <w:r>
        <w:t xml:space="preserve"> likelihood of error, and also </w:t>
      </w:r>
      <w:r w:rsidR="00FA2468">
        <w:t>there is a</w:t>
      </w:r>
      <w:r>
        <w:t xml:space="preserve"> greater cost to the University to process these transactions.  </w:t>
      </w:r>
    </w:p>
    <w:p w:rsidR="009D6D6A" w:rsidRDefault="009D6D6A" w:rsidP="0041648A">
      <w:pPr>
        <w:spacing w:after="0" w:line="240" w:lineRule="auto"/>
      </w:pPr>
    </w:p>
    <w:p w:rsidR="00B51272" w:rsidRDefault="00CE271F" w:rsidP="0041648A">
      <w:pPr>
        <w:spacing w:after="0" w:line="240" w:lineRule="auto"/>
      </w:pPr>
      <w:r>
        <w:t>Therefore, new</w:t>
      </w:r>
      <w:r w:rsidR="00AF4A68">
        <w:t xml:space="preserve"> recommended</w:t>
      </w:r>
      <w:r>
        <w:t xml:space="preserve"> de </w:t>
      </w:r>
      <w:proofErr w:type="spellStart"/>
      <w:r>
        <w:t>minimis</w:t>
      </w:r>
      <w:proofErr w:type="spellEnd"/>
      <w:r>
        <w:t xml:space="preserve"> thresholds</w:t>
      </w:r>
      <w:r w:rsidR="00AF4A68">
        <w:t xml:space="preserve"> (to be applied whenever possible)</w:t>
      </w:r>
      <w:r>
        <w:t xml:space="preserve"> are being proposed to keep the accounting treatment of donations and endowments as simple as possible, to reduce the likelihood of error and to reduce the cost to the University.</w:t>
      </w:r>
    </w:p>
    <w:p w:rsidR="00B51272" w:rsidRDefault="00B51272" w:rsidP="0041648A">
      <w:pPr>
        <w:spacing w:after="0" w:line="240" w:lineRule="auto"/>
      </w:pPr>
    </w:p>
    <w:p w:rsidR="00B51272" w:rsidRPr="00A90B6F" w:rsidRDefault="00B51272" w:rsidP="0041648A">
      <w:pPr>
        <w:spacing w:after="0" w:line="240" w:lineRule="auto"/>
        <w:rPr>
          <w:b/>
          <w:sz w:val="28"/>
          <w:szCs w:val="28"/>
          <w:u w:val="single"/>
        </w:rPr>
      </w:pPr>
      <w:r w:rsidRPr="00A90B6F">
        <w:rPr>
          <w:b/>
          <w:sz w:val="28"/>
          <w:szCs w:val="28"/>
          <w:u w:val="single"/>
        </w:rPr>
        <w:t>Donations</w:t>
      </w:r>
    </w:p>
    <w:p w:rsidR="00CE271F" w:rsidRDefault="00CE271F" w:rsidP="0041648A">
      <w:pPr>
        <w:spacing w:after="0" w:line="240" w:lineRule="auto"/>
      </w:pPr>
      <w:r>
        <w:t>There are now three classifications of donation, as follows:</w:t>
      </w:r>
    </w:p>
    <w:p w:rsidR="00B51272" w:rsidRDefault="00CE271F" w:rsidP="00CE271F">
      <w:pPr>
        <w:pStyle w:val="ListParagraph"/>
        <w:numPr>
          <w:ilvl w:val="0"/>
          <w:numId w:val="1"/>
        </w:numPr>
        <w:spacing w:after="0" w:line="240" w:lineRule="auto"/>
      </w:pPr>
      <w:r>
        <w:t>unrestricted donation</w:t>
      </w:r>
    </w:p>
    <w:p w:rsidR="00CE271F" w:rsidRDefault="00CE271F" w:rsidP="00CE271F">
      <w:pPr>
        <w:pStyle w:val="ListParagraph"/>
        <w:numPr>
          <w:ilvl w:val="0"/>
          <w:numId w:val="1"/>
        </w:numPr>
        <w:spacing w:after="0" w:line="240" w:lineRule="auto"/>
      </w:pPr>
      <w:r>
        <w:t>restricted donation</w:t>
      </w:r>
    </w:p>
    <w:p w:rsidR="00CE271F" w:rsidRDefault="00CE271F" w:rsidP="00CE271F">
      <w:pPr>
        <w:pStyle w:val="ListParagraph"/>
        <w:numPr>
          <w:ilvl w:val="0"/>
          <w:numId w:val="1"/>
        </w:numPr>
        <w:spacing w:after="0" w:line="240" w:lineRule="auto"/>
      </w:pPr>
      <w:r>
        <w:t>donation with performance-related conditions</w:t>
      </w:r>
    </w:p>
    <w:p w:rsidR="00CE271F" w:rsidRDefault="00CE271F" w:rsidP="00CE271F">
      <w:pPr>
        <w:spacing w:after="0" w:line="240" w:lineRule="auto"/>
      </w:pPr>
    </w:p>
    <w:p w:rsidR="00CE271F" w:rsidRDefault="002365B3" w:rsidP="00CE271F">
      <w:pPr>
        <w:spacing w:after="0" w:line="240" w:lineRule="auto"/>
      </w:pPr>
      <w:r w:rsidRPr="00777723">
        <w:t>For an outline of how the University will interpret ‘restricted’ and ‘performance-related conditions</w:t>
      </w:r>
      <w:r w:rsidR="00AF4A68">
        <w:t>’</w:t>
      </w:r>
      <w:r w:rsidR="009B633D">
        <w:t xml:space="preserve"> in the context of donations</w:t>
      </w:r>
      <w:r w:rsidRPr="00777723">
        <w:t xml:space="preserve">, please see </w:t>
      </w:r>
      <w:r w:rsidR="00777723" w:rsidRPr="00777723">
        <w:t>Appendix A.</w:t>
      </w:r>
    </w:p>
    <w:p w:rsidR="00CE271F" w:rsidRDefault="00CE271F" w:rsidP="0041648A">
      <w:pPr>
        <w:spacing w:after="0" w:line="240" w:lineRule="auto"/>
      </w:pPr>
    </w:p>
    <w:p w:rsidR="00AF4A68" w:rsidRDefault="00D34EC3" w:rsidP="0041648A">
      <w:pPr>
        <w:spacing w:after="0" w:line="240" w:lineRule="auto"/>
      </w:pPr>
      <w:r>
        <w:t xml:space="preserve">The timing of revenue recognition, and the presentation in reserves (between unrestricted and restricted) will differ, depending upon </w:t>
      </w:r>
      <w:r w:rsidR="00AF4A68">
        <w:t>how the donation is classified.</w:t>
      </w:r>
    </w:p>
    <w:p w:rsidR="00AF4A68" w:rsidRDefault="00AF4A68" w:rsidP="0041648A">
      <w:pPr>
        <w:spacing w:after="0" w:line="240" w:lineRule="auto"/>
      </w:pPr>
    </w:p>
    <w:p w:rsidR="00AF4A68" w:rsidRPr="00AF4A68" w:rsidRDefault="00A217AA" w:rsidP="0041648A">
      <w:pPr>
        <w:spacing w:after="0" w:line="240" w:lineRule="auto"/>
        <w:rPr>
          <w:b/>
        </w:rPr>
      </w:pPr>
      <w:r>
        <w:rPr>
          <w:b/>
        </w:rPr>
        <w:t>Please note,</w:t>
      </w:r>
      <w:r w:rsidR="00AF4A68" w:rsidRPr="00A217AA">
        <w:rPr>
          <w:b/>
        </w:rPr>
        <w:t xml:space="preserve"> </w:t>
      </w:r>
      <w:r w:rsidR="00696D6E" w:rsidRPr="00A217AA">
        <w:rPr>
          <w:b/>
        </w:rPr>
        <w:t>regardless</w:t>
      </w:r>
      <w:r w:rsidR="00696D6E">
        <w:rPr>
          <w:b/>
        </w:rPr>
        <w:t xml:space="preserve"> of whether a donation is classified in the accounts as ‘restricted’ or ‘unrestricted’ the timing of the income recognition will be the same.  Therefore it will make no difference to a Faculty’s or School’s accounts whether a donation is classified as ‘restricted’ or ‘unrestricted’.</w:t>
      </w:r>
    </w:p>
    <w:p w:rsidR="00AF4A68" w:rsidRDefault="00AF4A68" w:rsidP="0041648A">
      <w:pPr>
        <w:spacing w:after="0" w:line="240" w:lineRule="auto"/>
      </w:pPr>
    </w:p>
    <w:p w:rsidR="00DF0DD9" w:rsidRDefault="00DF0DD9" w:rsidP="0041648A">
      <w:pPr>
        <w:spacing w:after="0" w:line="240" w:lineRule="auto"/>
      </w:pPr>
    </w:p>
    <w:p w:rsidR="00B51272" w:rsidRDefault="00AF4A68" w:rsidP="0041648A">
      <w:pPr>
        <w:spacing w:after="0" w:line="240" w:lineRule="auto"/>
      </w:pPr>
      <w:r>
        <w:lastRenderedPageBreak/>
        <w:t xml:space="preserve">The accounting treatment for each type of donation is </w:t>
      </w:r>
      <w:r w:rsidR="00D34EC3">
        <w:t>as follows:</w:t>
      </w:r>
    </w:p>
    <w:p w:rsidR="00D34EC3" w:rsidRDefault="00D34EC3" w:rsidP="0041648A">
      <w:pPr>
        <w:spacing w:after="0" w:line="240" w:lineRule="auto"/>
      </w:pPr>
    </w:p>
    <w:p w:rsidR="00D34EC3" w:rsidRDefault="00D34EC3" w:rsidP="0041648A">
      <w:pPr>
        <w:spacing w:after="0" w:line="240" w:lineRule="auto"/>
        <w:rPr>
          <w:u w:val="single"/>
        </w:rPr>
      </w:pPr>
      <w:r w:rsidRPr="00D34EC3">
        <w:rPr>
          <w:u w:val="single"/>
        </w:rPr>
        <w:t>Unrestricted Donation</w:t>
      </w:r>
    </w:p>
    <w:p w:rsidR="00D34EC3" w:rsidRPr="00D34EC3" w:rsidRDefault="00D34EC3" w:rsidP="00D34EC3">
      <w:pPr>
        <w:pStyle w:val="ListParagraph"/>
        <w:numPr>
          <w:ilvl w:val="0"/>
          <w:numId w:val="2"/>
        </w:numPr>
        <w:spacing w:after="0" w:line="240" w:lineRule="auto"/>
        <w:rPr>
          <w:u w:val="single"/>
        </w:rPr>
      </w:pPr>
      <w:r>
        <w:t>Income is recognised on receipt</w:t>
      </w:r>
    </w:p>
    <w:p w:rsidR="00D34EC3" w:rsidRPr="00D34EC3" w:rsidRDefault="009B633D" w:rsidP="00D34EC3">
      <w:pPr>
        <w:pStyle w:val="ListParagraph"/>
        <w:numPr>
          <w:ilvl w:val="0"/>
          <w:numId w:val="2"/>
        </w:numPr>
        <w:spacing w:after="0" w:line="240" w:lineRule="auto"/>
        <w:rPr>
          <w:u w:val="single"/>
        </w:rPr>
      </w:pPr>
      <w:r>
        <w:t>N</w:t>
      </w:r>
      <w:r w:rsidR="00D34EC3">
        <w:t>o reserves accounting required</w:t>
      </w:r>
    </w:p>
    <w:p w:rsidR="00D34EC3" w:rsidRDefault="00D34EC3" w:rsidP="00D34EC3">
      <w:pPr>
        <w:spacing w:after="0" w:line="240" w:lineRule="auto"/>
        <w:rPr>
          <w:u w:val="single"/>
        </w:rPr>
      </w:pPr>
    </w:p>
    <w:p w:rsidR="00D34EC3" w:rsidRPr="00D34EC3" w:rsidRDefault="00D34EC3" w:rsidP="00D34EC3">
      <w:pPr>
        <w:spacing w:after="0" w:line="240" w:lineRule="auto"/>
      </w:pPr>
      <w:r>
        <w:t xml:space="preserve">An unrestricted donation </w:t>
      </w:r>
      <w:r w:rsidR="003E7F96">
        <w:t xml:space="preserve">is the simplest type of donation to account for.  Therefore, it has the least likelihood of error, and incurs the lowest cost.  </w:t>
      </w:r>
    </w:p>
    <w:p w:rsidR="00D34EC3" w:rsidRDefault="00D34EC3" w:rsidP="0041648A">
      <w:pPr>
        <w:spacing w:after="0" w:line="240" w:lineRule="auto"/>
      </w:pPr>
    </w:p>
    <w:p w:rsidR="00D34EC3" w:rsidRDefault="00D34EC3" w:rsidP="0041648A">
      <w:pPr>
        <w:spacing w:after="0" w:line="240" w:lineRule="auto"/>
        <w:rPr>
          <w:u w:val="single"/>
        </w:rPr>
      </w:pPr>
      <w:r w:rsidRPr="00D34EC3">
        <w:rPr>
          <w:u w:val="single"/>
        </w:rPr>
        <w:t>Restricted Donation</w:t>
      </w:r>
    </w:p>
    <w:p w:rsidR="003E7F96" w:rsidRPr="00D34EC3" w:rsidRDefault="003E7F96" w:rsidP="003E7F96">
      <w:pPr>
        <w:pStyle w:val="ListParagraph"/>
        <w:numPr>
          <w:ilvl w:val="0"/>
          <w:numId w:val="3"/>
        </w:numPr>
        <w:spacing w:after="0" w:line="240" w:lineRule="auto"/>
        <w:rPr>
          <w:u w:val="single"/>
        </w:rPr>
      </w:pPr>
      <w:r>
        <w:t>Income is recognised on receipt</w:t>
      </w:r>
    </w:p>
    <w:p w:rsidR="003E7F96" w:rsidRPr="003E7F96" w:rsidRDefault="009B633D" w:rsidP="003E7F96">
      <w:pPr>
        <w:pStyle w:val="ListParagraph"/>
        <w:numPr>
          <w:ilvl w:val="0"/>
          <w:numId w:val="3"/>
        </w:numPr>
        <w:spacing w:after="0" w:line="240" w:lineRule="auto"/>
        <w:rPr>
          <w:u w:val="single"/>
        </w:rPr>
      </w:pPr>
      <w:r>
        <w:t>T</w:t>
      </w:r>
      <w:r w:rsidR="003E7F96">
        <w:t>he restricted income received is held in restricted reserves until the related expenditure is incurred</w:t>
      </w:r>
    </w:p>
    <w:p w:rsidR="003E7F96" w:rsidRDefault="003E7F96" w:rsidP="003E7F96">
      <w:pPr>
        <w:spacing w:after="0" w:line="240" w:lineRule="auto"/>
        <w:rPr>
          <w:u w:val="single"/>
        </w:rPr>
      </w:pPr>
    </w:p>
    <w:p w:rsidR="003E7F96" w:rsidRDefault="003E7F96" w:rsidP="003E7F96">
      <w:pPr>
        <w:spacing w:after="0" w:line="240" w:lineRule="auto"/>
      </w:pPr>
      <w:r>
        <w:t xml:space="preserve">Due to the required reserves accounting, a restricted donation is the most complex type of donation to account for.  </w:t>
      </w:r>
    </w:p>
    <w:p w:rsidR="00AF4A68" w:rsidRPr="003E7F96" w:rsidRDefault="00AF4A68" w:rsidP="003E7F96">
      <w:pPr>
        <w:spacing w:after="0" w:line="240" w:lineRule="auto"/>
      </w:pPr>
    </w:p>
    <w:p w:rsidR="00D34EC3" w:rsidRPr="00D34EC3" w:rsidRDefault="00D34EC3" w:rsidP="0041648A">
      <w:pPr>
        <w:spacing w:after="0" w:line="240" w:lineRule="auto"/>
        <w:rPr>
          <w:u w:val="single"/>
        </w:rPr>
      </w:pPr>
      <w:r w:rsidRPr="00D34EC3">
        <w:rPr>
          <w:u w:val="single"/>
        </w:rPr>
        <w:t>Donation with Performance-Related Conditions (PRCs)</w:t>
      </w:r>
    </w:p>
    <w:p w:rsidR="00D34EC3" w:rsidRDefault="003E7F96" w:rsidP="003E7F96">
      <w:pPr>
        <w:pStyle w:val="ListParagraph"/>
        <w:numPr>
          <w:ilvl w:val="0"/>
          <w:numId w:val="4"/>
        </w:numPr>
        <w:spacing w:after="0" w:line="240" w:lineRule="auto"/>
      </w:pPr>
      <w:r>
        <w:t xml:space="preserve">Income is deferred until the University has full entitlement </w:t>
      </w:r>
    </w:p>
    <w:p w:rsidR="003E7F96" w:rsidRDefault="009B633D" w:rsidP="003E7F96">
      <w:pPr>
        <w:pStyle w:val="ListParagraph"/>
        <w:numPr>
          <w:ilvl w:val="0"/>
          <w:numId w:val="4"/>
        </w:numPr>
        <w:spacing w:after="0" w:line="240" w:lineRule="auto"/>
      </w:pPr>
      <w:r>
        <w:t>N</w:t>
      </w:r>
      <w:r w:rsidR="003E7F96">
        <w:t>o reserves accounting required</w:t>
      </w:r>
    </w:p>
    <w:p w:rsidR="003E7F96" w:rsidRDefault="003E7F96" w:rsidP="0041648A">
      <w:pPr>
        <w:spacing w:after="0" w:line="240" w:lineRule="auto"/>
      </w:pPr>
    </w:p>
    <w:p w:rsidR="005436BD" w:rsidRPr="005436BD" w:rsidRDefault="005436BD" w:rsidP="005436BD">
      <w:pPr>
        <w:spacing w:after="0" w:line="240" w:lineRule="auto"/>
      </w:pPr>
      <w:r w:rsidRPr="00777723">
        <w:t>The 2015 SORP states that, ‘</w:t>
      </w:r>
      <w:r w:rsidRPr="00777723">
        <w:rPr>
          <w:i/>
        </w:rPr>
        <w:t>it is expected that donations with performance-related conditions will be rare’.</w:t>
      </w:r>
      <w:r w:rsidRPr="00777723">
        <w:t xml:space="preserve">  For a further discussion of this, please see </w:t>
      </w:r>
      <w:r w:rsidR="00777723" w:rsidRPr="00777723">
        <w:t>Appendix A.</w:t>
      </w:r>
    </w:p>
    <w:p w:rsidR="003E7F96" w:rsidRDefault="003E7F96" w:rsidP="0041648A">
      <w:pPr>
        <w:spacing w:after="0" w:line="240" w:lineRule="auto"/>
      </w:pPr>
    </w:p>
    <w:p w:rsidR="00D34EC3" w:rsidRPr="00A90B6F" w:rsidRDefault="00D34EC3" w:rsidP="0041648A">
      <w:pPr>
        <w:spacing w:after="0" w:line="240" w:lineRule="auto"/>
        <w:rPr>
          <w:b/>
          <w:u w:val="single"/>
        </w:rPr>
      </w:pPr>
      <w:r w:rsidRPr="00A90B6F">
        <w:rPr>
          <w:b/>
          <w:u w:val="single"/>
        </w:rPr>
        <w:t>Proposal</w:t>
      </w:r>
      <w:r w:rsidR="00AA396B" w:rsidRPr="00A90B6F">
        <w:rPr>
          <w:b/>
          <w:u w:val="single"/>
        </w:rPr>
        <w:t xml:space="preserve"> - Donations</w:t>
      </w:r>
    </w:p>
    <w:tbl>
      <w:tblPr>
        <w:tblW w:w="0" w:type="auto"/>
        <w:tblInd w:w="93" w:type="dxa"/>
        <w:tblLook w:val="04A0" w:firstRow="1" w:lastRow="0" w:firstColumn="1" w:lastColumn="0" w:noHBand="0" w:noVBand="1"/>
      </w:tblPr>
      <w:tblGrid>
        <w:gridCol w:w="222"/>
        <w:gridCol w:w="8705"/>
        <w:gridCol w:w="222"/>
      </w:tblGrid>
      <w:tr w:rsidR="00AA396B" w:rsidRPr="00AA396B" w:rsidTr="00AA396B">
        <w:trPr>
          <w:trHeight w:val="315"/>
        </w:trPr>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r>
      <w:tr w:rsidR="00AA396B" w:rsidRPr="00AA396B" w:rsidTr="00AA396B">
        <w:trPr>
          <w:trHeight w:val="3915"/>
        </w:trPr>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44382" w:rsidRDefault="00AA396B" w:rsidP="00CD0B1C">
            <w:pPr>
              <w:spacing w:after="240" w:line="240" w:lineRule="auto"/>
              <w:rPr>
                <w:rFonts w:ascii="Calibri" w:eastAsia="Symbol" w:hAnsi="Calibri" w:cs="Symbol"/>
                <w:color w:val="000000"/>
                <w:lang w:eastAsia="en-GB"/>
              </w:rPr>
            </w:pPr>
            <w:r w:rsidRPr="00AA396B">
              <w:rPr>
                <w:rFonts w:ascii="Calibri" w:eastAsia="Symbol" w:hAnsi="Calibri" w:cs="Symbol"/>
                <w:color w:val="000000"/>
                <w:lang w:eastAsia="en-GB"/>
              </w:rPr>
              <w:t>It is proposed</w:t>
            </w:r>
            <w:r w:rsidR="00CD0B1C" w:rsidRPr="00AA396B">
              <w:rPr>
                <w:rFonts w:ascii="Calibri" w:eastAsia="Symbol" w:hAnsi="Calibri" w:cs="Symbol"/>
                <w:color w:val="000000"/>
                <w:lang w:eastAsia="en-GB"/>
              </w:rPr>
              <w:t xml:space="preserve">: </w:t>
            </w:r>
          </w:p>
          <w:p w:rsidR="00A44382" w:rsidRDefault="00A44382" w:rsidP="00A44382">
            <w:pPr>
              <w:spacing w:after="0" w:line="240" w:lineRule="auto"/>
              <w:rPr>
                <w:rFonts w:ascii="Calibri" w:eastAsia="Symbol" w:hAnsi="Calibri" w:cs="Symbol"/>
                <w:color w:val="000000"/>
                <w:lang w:eastAsia="en-GB"/>
              </w:rPr>
            </w:pPr>
            <w:r w:rsidRPr="00AA396B">
              <w:rPr>
                <w:rFonts w:ascii="Calibri" w:eastAsia="Symbol" w:hAnsi="Calibri" w:cs="Symbol"/>
                <w:color w:val="000000"/>
                <w:lang w:eastAsia="en-GB"/>
              </w:rPr>
              <w:t>• any donation</w:t>
            </w:r>
            <w:r>
              <w:rPr>
                <w:rFonts w:ascii="Calibri" w:eastAsia="Symbol" w:hAnsi="Calibri" w:cs="Symbol"/>
                <w:color w:val="000000"/>
                <w:lang w:eastAsia="en-GB"/>
              </w:rPr>
              <w:t xml:space="preserve"> (restricted or unrestricted)</w:t>
            </w:r>
            <w:r w:rsidRPr="00AA396B">
              <w:rPr>
                <w:rFonts w:ascii="Calibri" w:eastAsia="Symbol" w:hAnsi="Calibri" w:cs="Symbol"/>
                <w:color w:val="000000"/>
                <w:lang w:eastAsia="en-GB"/>
              </w:rPr>
              <w:t xml:space="preserve"> received of a value </w:t>
            </w:r>
            <w:r>
              <w:rPr>
                <w:rFonts w:ascii="Calibri" w:eastAsia="Symbol" w:hAnsi="Calibri" w:cs="Symbol"/>
                <w:b/>
                <w:color w:val="000000"/>
                <w:lang w:eastAsia="en-GB"/>
              </w:rPr>
              <w:t>more</w:t>
            </w:r>
            <w:r w:rsidRPr="00AA396B">
              <w:rPr>
                <w:rFonts w:ascii="Calibri" w:eastAsia="Symbol" w:hAnsi="Calibri" w:cs="Symbol"/>
                <w:b/>
                <w:color w:val="000000"/>
                <w:lang w:eastAsia="en-GB"/>
              </w:rPr>
              <w:t xml:space="preserve"> than £50,000</w:t>
            </w:r>
            <w:r w:rsidRPr="00AA396B">
              <w:rPr>
                <w:rFonts w:ascii="Calibri" w:eastAsia="Symbol" w:hAnsi="Calibri" w:cs="Symbol"/>
                <w:color w:val="000000"/>
                <w:lang w:eastAsia="en-GB"/>
              </w:rPr>
              <w:t xml:space="preserve"> will be accounted for within the specified area, via the </w:t>
            </w:r>
            <w:r>
              <w:rPr>
                <w:rFonts w:ascii="Calibri" w:eastAsia="Symbol" w:hAnsi="Calibri" w:cs="Symbol"/>
                <w:b/>
                <w:color w:val="000000"/>
                <w:lang w:eastAsia="en-GB"/>
              </w:rPr>
              <w:t>Major</w:t>
            </w:r>
            <w:r w:rsidRPr="00AA396B">
              <w:rPr>
                <w:rFonts w:ascii="Calibri" w:eastAsia="Symbol" w:hAnsi="Calibri" w:cs="Symbol"/>
                <w:b/>
                <w:color w:val="000000"/>
                <w:lang w:eastAsia="en-GB"/>
              </w:rPr>
              <w:t xml:space="preserve"> Gifts</w:t>
            </w:r>
            <w:r w:rsidRPr="00AA396B">
              <w:rPr>
                <w:rFonts w:ascii="Calibri" w:eastAsia="Symbol" w:hAnsi="Calibri" w:cs="Symbol"/>
                <w:color w:val="000000"/>
                <w:lang w:eastAsia="en-GB"/>
              </w:rPr>
              <w:t xml:space="preserve"> account</w:t>
            </w:r>
          </w:p>
          <w:p w:rsidR="00CD0B1C" w:rsidRDefault="00AA396B" w:rsidP="00A44382">
            <w:pPr>
              <w:spacing w:after="0" w:line="240" w:lineRule="auto"/>
              <w:rPr>
                <w:rFonts w:ascii="Calibri" w:eastAsia="Symbol" w:hAnsi="Calibri" w:cs="Symbol"/>
                <w:color w:val="000000"/>
                <w:lang w:eastAsia="en-GB"/>
              </w:rPr>
            </w:pPr>
            <w:r w:rsidRPr="00AA396B">
              <w:rPr>
                <w:rFonts w:ascii="Calibri" w:eastAsia="Symbol" w:hAnsi="Calibri" w:cs="Symbol"/>
                <w:color w:val="000000"/>
                <w:lang w:eastAsia="en-GB"/>
              </w:rPr>
              <w:br/>
              <w:t>• any donation</w:t>
            </w:r>
            <w:r w:rsidR="009A3442">
              <w:rPr>
                <w:rFonts w:ascii="Calibri" w:eastAsia="Symbol" w:hAnsi="Calibri" w:cs="Symbol"/>
                <w:color w:val="000000"/>
                <w:lang w:eastAsia="en-GB"/>
              </w:rPr>
              <w:t xml:space="preserve"> pledge</w:t>
            </w:r>
            <w:r w:rsidRPr="00AA396B">
              <w:rPr>
                <w:rFonts w:ascii="Calibri" w:eastAsia="Symbol" w:hAnsi="Calibri" w:cs="Symbol"/>
                <w:color w:val="000000"/>
                <w:lang w:eastAsia="en-GB"/>
              </w:rPr>
              <w:t xml:space="preserve"> received of a value </w:t>
            </w:r>
            <w:r w:rsidRPr="00AA396B">
              <w:rPr>
                <w:rFonts w:ascii="Calibri" w:eastAsia="Symbol" w:hAnsi="Calibri" w:cs="Symbol"/>
                <w:b/>
                <w:color w:val="000000"/>
                <w:lang w:eastAsia="en-GB"/>
              </w:rPr>
              <w:t>less than £50,000</w:t>
            </w:r>
            <w:r w:rsidRPr="00AA396B">
              <w:rPr>
                <w:rFonts w:ascii="Calibri" w:eastAsia="Symbol" w:hAnsi="Calibri" w:cs="Symbol"/>
                <w:color w:val="000000"/>
                <w:lang w:eastAsia="en-GB"/>
              </w:rPr>
              <w:t xml:space="preserve"> to be classified as a </w:t>
            </w:r>
            <w:r w:rsidRPr="00AA396B">
              <w:rPr>
                <w:rFonts w:ascii="Calibri" w:eastAsia="Symbol" w:hAnsi="Calibri" w:cs="Symbol"/>
                <w:b/>
                <w:color w:val="000000"/>
                <w:lang w:eastAsia="en-GB"/>
              </w:rPr>
              <w:t>unrestricted donation</w:t>
            </w:r>
            <w:r w:rsidRPr="00AA396B">
              <w:rPr>
                <w:rFonts w:ascii="Calibri" w:eastAsia="Symbol" w:hAnsi="Calibri" w:cs="Symbol"/>
                <w:color w:val="000000"/>
                <w:lang w:eastAsia="en-GB"/>
              </w:rPr>
              <w:br/>
            </w:r>
            <w:r w:rsidRPr="00AA396B">
              <w:rPr>
                <w:rFonts w:ascii="Calibri" w:eastAsia="Symbol" w:hAnsi="Calibri" w:cs="Symbol"/>
                <w:color w:val="000000"/>
                <w:lang w:eastAsia="en-GB"/>
              </w:rPr>
              <w:br/>
              <w:t>• if this donation</w:t>
            </w:r>
            <w:r w:rsidR="00A44382">
              <w:rPr>
                <w:rFonts w:ascii="Calibri" w:eastAsia="Symbol" w:hAnsi="Calibri" w:cs="Symbol"/>
                <w:color w:val="000000"/>
                <w:lang w:eastAsia="en-GB"/>
              </w:rPr>
              <w:t xml:space="preserve"> (&lt;£50k)</w:t>
            </w:r>
            <w:r w:rsidRPr="00AA396B">
              <w:rPr>
                <w:rFonts w:ascii="Calibri" w:eastAsia="Symbol" w:hAnsi="Calibri" w:cs="Symbol"/>
                <w:color w:val="000000"/>
                <w:lang w:eastAsia="en-GB"/>
              </w:rPr>
              <w:t xml:space="preserve"> has </w:t>
            </w:r>
            <w:r w:rsidRPr="00AA396B">
              <w:rPr>
                <w:rFonts w:ascii="Calibri" w:eastAsia="Symbol" w:hAnsi="Calibri" w:cs="Symbol"/>
                <w:b/>
                <w:color w:val="000000"/>
                <w:lang w:eastAsia="en-GB"/>
              </w:rPr>
              <w:t>requirements attached</w:t>
            </w:r>
            <w:r w:rsidRPr="00AA396B">
              <w:rPr>
                <w:rFonts w:ascii="Calibri" w:eastAsia="Symbol" w:hAnsi="Calibri" w:cs="Symbol"/>
                <w:color w:val="000000"/>
                <w:lang w:eastAsia="en-GB"/>
              </w:rPr>
              <w:t xml:space="preserve"> it will be accounted for within the specified area, via the </w:t>
            </w:r>
            <w:r w:rsidR="00DF0DD9">
              <w:rPr>
                <w:rFonts w:ascii="Calibri" w:eastAsia="Symbol" w:hAnsi="Calibri" w:cs="Symbol"/>
                <w:b/>
                <w:color w:val="000000"/>
                <w:lang w:eastAsia="en-GB"/>
              </w:rPr>
              <w:t>Major</w:t>
            </w:r>
            <w:r w:rsidRPr="00AA396B">
              <w:rPr>
                <w:rFonts w:ascii="Calibri" w:eastAsia="Symbol" w:hAnsi="Calibri" w:cs="Symbol"/>
                <w:b/>
                <w:color w:val="000000"/>
                <w:lang w:eastAsia="en-GB"/>
              </w:rPr>
              <w:t xml:space="preserve"> Gifts</w:t>
            </w:r>
            <w:r w:rsidRPr="00AA396B">
              <w:rPr>
                <w:rFonts w:ascii="Calibri" w:eastAsia="Symbol" w:hAnsi="Calibri" w:cs="Symbol"/>
                <w:color w:val="000000"/>
                <w:lang w:eastAsia="en-GB"/>
              </w:rPr>
              <w:t xml:space="preserve"> account</w:t>
            </w:r>
            <w:r w:rsidR="00A90B6F">
              <w:rPr>
                <w:rFonts w:ascii="Calibri" w:eastAsia="Symbol" w:hAnsi="Calibri" w:cs="Symbol"/>
                <w:color w:val="000000"/>
                <w:lang w:eastAsia="en-GB"/>
              </w:rPr>
              <w:t>;</w:t>
            </w:r>
            <w:r w:rsidR="007F7A63">
              <w:rPr>
                <w:rFonts w:ascii="Calibri" w:eastAsia="Symbol" w:hAnsi="Calibri" w:cs="Symbol"/>
                <w:color w:val="000000"/>
                <w:lang w:eastAsia="en-GB"/>
              </w:rPr>
              <w:t xml:space="preserve"> or</w:t>
            </w:r>
            <w:proofErr w:type="gramStart"/>
            <w:r w:rsidR="007F7A63">
              <w:rPr>
                <w:rFonts w:ascii="Calibri" w:eastAsia="Symbol" w:hAnsi="Calibri" w:cs="Symbol"/>
                <w:color w:val="000000"/>
                <w:lang w:eastAsia="en-GB"/>
              </w:rPr>
              <w:t>,</w:t>
            </w:r>
            <w:proofErr w:type="gramEnd"/>
            <w:r w:rsidRPr="00AA396B">
              <w:rPr>
                <w:rFonts w:ascii="Calibri" w:eastAsia="Symbol" w:hAnsi="Calibri" w:cs="Symbol"/>
                <w:color w:val="000000"/>
                <w:lang w:eastAsia="en-GB"/>
              </w:rPr>
              <w:br/>
            </w:r>
            <w:r w:rsidR="007F7A63">
              <w:rPr>
                <w:rFonts w:ascii="Calibri" w:eastAsia="Symbol" w:hAnsi="Calibri" w:cs="Symbol"/>
                <w:color w:val="000000"/>
                <w:lang w:eastAsia="en-GB"/>
              </w:rPr>
              <w:br/>
              <w:t xml:space="preserve">• </w:t>
            </w:r>
            <w:r w:rsidRPr="00AA396B">
              <w:rPr>
                <w:rFonts w:ascii="Calibri" w:eastAsia="Symbol" w:hAnsi="Calibri" w:cs="Symbol"/>
                <w:color w:val="000000"/>
                <w:lang w:eastAsia="en-GB"/>
              </w:rPr>
              <w:t>if this donation</w:t>
            </w:r>
            <w:r w:rsidR="00A44382">
              <w:rPr>
                <w:rFonts w:ascii="Calibri" w:eastAsia="Symbol" w:hAnsi="Calibri" w:cs="Symbol"/>
                <w:color w:val="000000"/>
                <w:lang w:eastAsia="en-GB"/>
              </w:rPr>
              <w:t xml:space="preserve"> (&lt;£50k)</w:t>
            </w:r>
            <w:r w:rsidRPr="00AA396B">
              <w:rPr>
                <w:rFonts w:ascii="Calibri" w:eastAsia="Symbol" w:hAnsi="Calibri" w:cs="Symbol"/>
                <w:color w:val="000000"/>
                <w:lang w:eastAsia="en-GB"/>
              </w:rPr>
              <w:t xml:space="preserve"> has </w:t>
            </w:r>
            <w:r w:rsidRPr="00AA396B">
              <w:rPr>
                <w:rFonts w:ascii="Calibri" w:eastAsia="Symbol" w:hAnsi="Calibri" w:cs="Symbol"/>
                <w:b/>
                <w:color w:val="000000"/>
                <w:lang w:eastAsia="en-GB"/>
              </w:rPr>
              <w:t>no requirements attached</w:t>
            </w:r>
            <w:r w:rsidRPr="00AA396B">
              <w:rPr>
                <w:rFonts w:ascii="Calibri" w:eastAsia="Symbol" w:hAnsi="Calibri" w:cs="Symbol"/>
                <w:color w:val="000000"/>
                <w:lang w:eastAsia="en-GB"/>
              </w:rPr>
              <w:t xml:space="preserve"> it will be added to the </w:t>
            </w:r>
            <w:r w:rsidRPr="00AA396B">
              <w:rPr>
                <w:rFonts w:ascii="Calibri" w:eastAsia="Symbol" w:hAnsi="Calibri" w:cs="Symbol"/>
                <w:b/>
                <w:color w:val="000000"/>
                <w:lang w:eastAsia="en-GB"/>
              </w:rPr>
              <w:t>Annual Fund</w:t>
            </w:r>
            <w:r w:rsidRPr="00AA396B">
              <w:rPr>
                <w:rFonts w:ascii="Calibri" w:eastAsia="Symbol" w:hAnsi="Calibri" w:cs="Symbol"/>
                <w:color w:val="000000"/>
                <w:lang w:eastAsia="en-GB"/>
              </w:rPr>
              <w:br/>
            </w:r>
            <w:r w:rsidRPr="00AA396B">
              <w:rPr>
                <w:rFonts w:ascii="Calibri" w:eastAsia="Symbol" w:hAnsi="Calibri" w:cs="Symbol"/>
                <w:color w:val="000000"/>
                <w:lang w:eastAsia="en-GB"/>
              </w:rPr>
              <w:br/>
            </w:r>
            <w:r w:rsidR="00CD0B1C">
              <w:rPr>
                <w:rFonts w:ascii="Calibri" w:eastAsia="Symbol" w:hAnsi="Calibri" w:cs="Symbol"/>
                <w:color w:val="000000"/>
                <w:lang w:eastAsia="en-GB"/>
              </w:rPr>
              <w:t>DDAR will work with donors, to try to minimise the volume of gift</w:t>
            </w:r>
            <w:r w:rsidR="00DF0DD9">
              <w:rPr>
                <w:rFonts w:ascii="Calibri" w:eastAsia="Symbol" w:hAnsi="Calibri" w:cs="Symbol"/>
                <w:color w:val="000000"/>
                <w:lang w:eastAsia="en-GB"/>
              </w:rPr>
              <w:t>s accounted for via the Major</w:t>
            </w:r>
            <w:r w:rsidR="00CD0B1C">
              <w:rPr>
                <w:rFonts w:ascii="Calibri" w:eastAsia="Symbol" w:hAnsi="Calibri" w:cs="Symbol"/>
                <w:color w:val="000000"/>
                <w:lang w:eastAsia="en-GB"/>
              </w:rPr>
              <w:t xml:space="preserve"> Gifts account.</w:t>
            </w:r>
            <w:r w:rsidR="00DF0DD9">
              <w:rPr>
                <w:rFonts w:ascii="Calibri" w:eastAsia="Symbol" w:hAnsi="Calibri" w:cs="Symbol"/>
                <w:color w:val="000000"/>
                <w:lang w:eastAsia="en-GB"/>
              </w:rPr>
              <w:t xml:space="preserve">  In particular, for donations of a value less than £10,000, DDAR will </w:t>
            </w:r>
            <w:r w:rsidR="00EF299F">
              <w:rPr>
                <w:rFonts w:ascii="Calibri" w:eastAsia="Symbol" w:hAnsi="Calibri" w:cs="Symbol"/>
                <w:color w:val="000000"/>
                <w:lang w:eastAsia="en-GB"/>
              </w:rPr>
              <w:t xml:space="preserve">strongly </w:t>
            </w:r>
            <w:r w:rsidR="00DF0DD9">
              <w:rPr>
                <w:rFonts w:ascii="Calibri" w:eastAsia="Symbol" w:hAnsi="Calibri" w:cs="Symbol"/>
                <w:color w:val="000000"/>
                <w:lang w:eastAsia="en-GB"/>
              </w:rPr>
              <w:t>encourage the donor toward</w:t>
            </w:r>
            <w:r w:rsidR="00EF299F">
              <w:rPr>
                <w:rFonts w:ascii="Calibri" w:eastAsia="Symbol" w:hAnsi="Calibri" w:cs="Symbol"/>
                <w:color w:val="000000"/>
                <w:lang w:eastAsia="en-GB"/>
              </w:rPr>
              <w:t>s making a contribution to the Annual Fund, unless there is a strategic reason for doing otherwise.</w:t>
            </w:r>
          </w:p>
          <w:p w:rsidR="00A44382" w:rsidRPr="00CD0B1C" w:rsidRDefault="00A44382" w:rsidP="00A44382">
            <w:pPr>
              <w:spacing w:after="0" w:line="240" w:lineRule="auto"/>
              <w:rPr>
                <w:rFonts w:ascii="Calibri" w:eastAsia="Symbol" w:hAnsi="Calibri" w:cs="Symbol"/>
                <w:color w:val="000000"/>
                <w:lang w:eastAsia="en-GB"/>
              </w:rPr>
            </w:pPr>
          </w:p>
          <w:p w:rsidR="00DF0DD9" w:rsidRDefault="00CD0B1C" w:rsidP="00DF0DD9">
            <w:pPr>
              <w:spacing w:after="0" w:line="240" w:lineRule="auto"/>
            </w:pPr>
            <w:r>
              <w:rPr>
                <w:rFonts w:ascii="Calibri" w:eastAsia="Symbol" w:hAnsi="Calibri" w:cs="Symbol"/>
                <w:b/>
                <w:color w:val="000000"/>
                <w:lang w:eastAsia="en-GB"/>
              </w:rPr>
              <w:t>However, r</w:t>
            </w:r>
            <w:r w:rsidR="00AA396B" w:rsidRPr="00AA396B">
              <w:rPr>
                <w:rFonts w:ascii="Calibri" w:eastAsia="Symbol" w:hAnsi="Calibri" w:cs="Symbol"/>
                <w:b/>
                <w:color w:val="000000"/>
                <w:lang w:eastAsia="en-GB"/>
              </w:rPr>
              <w:t>egardless of how the donation is classified for accounting purposes, the University will ensure that, for all donations, the spirit and intent of the original benefaction is maintained.</w:t>
            </w:r>
            <w:r w:rsidR="00DF0DD9">
              <w:rPr>
                <w:rFonts w:ascii="Calibri" w:eastAsia="Symbol" w:hAnsi="Calibri" w:cs="Symbol"/>
                <w:b/>
                <w:color w:val="000000"/>
                <w:lang w:eastAsia="en-GB"/>
              </w:rPr>
              <w:t xml:space="preserve">  A donation will only be spent in line with the donor’s spirit and intent.</w:t>
            </w:r>
            <w:r w:rsidR="00DF0DD9" w:rsidRPr="00AA396B">
              <w:rPr>
                <w:rFonts w:ascii="Calibri" w:eastAsia="Symbol" w:hAnsi="Calibri" w:cs="Symbol"/>
                <w:color w:val="000000"/>
                <w:lang w:eastAsia="en-GB"/>
              </w:rPr>
              <w:t xml:space="preserve"> </w:t>
            </w:r>
            <w:r w:rsidR="00DF0DD9">
              <w:rPr>
                <w:rFonts w:ascii="Calibri" w:eastAsia="Symbol" w:hAnsi="Calibri" w:cs="Symbol"/>
                <w:color w:val="000000"/>
                <w:lang w:eastAsia="en-GB"/>
              </w:rPr>
              <w:t xml:space="preserve">  </w:t>
            </w:r>
          </w:p>
          <w:p w:rsidR="00AA396B" w:rsidRPr="00DF0DD9" w:rsidRDefault="00AA396B" w:rsidP="00DF0DD9">
            <w:pPr>
              <w:spacing w:after="0" w:line="240" w:lineRule="auto"/>
            </w:pPr>
            <w:r w:rsidRPr="00AA396B">
              <w:rPr>
                <w:rFonts w:ascii="Calibri" w:eastAsia="Symbol" w:hAnsi="Calibri" w:cs="Symbol"/>
                <w:color w:val="000000"/>
                <w:lang w:eastAsia="en-GB"/>
              </w:rPr>
              <w:t xml:space="preserve"> </w:t>
            </w:r>
          </w:p>
        </w:tc>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r>
      <w:tr w:rsidR="00AA396B" w:rsidRPr="00AA396B" w:rsidTr="00AA396B">
        <w:trPr>
          <w:trHeight w:val="300"/>
        </w:trPr>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AA396B" w:rsidRPr="00AA396B" w:rsidRDefault="00AA396B" w:rsidP="00AA396B">
            <w:pPr>
              <w:spacing w:after="0" w:line="240" w:lineRule="auto"/>
              <w:rPr>
                <w:rFonts w:ascii="Calibri" w:eastAsia="Times New Roman" w:hAnsi="Calibri" w:cs="Times New Roman"/>
                <w:color w:val="000000"/>
                <w:lang w:eastAsia="en-GB"/>
              </w:rPr>
            </w:pPr>
          </w:p>
        </w:tc>
      </w:tr>
    </w:tbl>
    <w:p w:rsidR="00CD0B1C" w:rsidRDefault="00CD0B1C" w:rsidP="0041648A">
      <w:pPr>
        <w:spacing w:after="0" w:line="240" w:lineRule="auto"/>
      </w:pPr>
      <w:r>
        <w:t>This proposal has been discussed and agreed with Chris Cox and his team within DDAR.</w:t>
      </w:r>
    </w:p>
    <w:p w:rsidR="00CD0B1C" w:rsidRDefault="00CD0B1C" w:rsidP="0041648A">
      <w:pPr>
        <w:spacing w:after="0" w:line="240" w:lineRule="auto"/>
      </w:pPr>
    </w:p>
    <w:p w:rsidR="00A90B6F" w:rsidRDefault="00A90B6F" w:rsidP="0041648A">
      <w:pPr>
        <w:spacing w:after="0" w:line="240" w:lineRule="auto"/>
        <w:rPr>
          <w:b/>
          <w:u w:val="single"/>
        </w:rPr>
      </w:pPr>
    </w:p>
    <w:p w:rsidR="00D34EC3" w:rsidRPr="00A90B6F" w:rsidRDefault="00D34EC3" w:rsidP="0041648A">
      <w:pPr>
        <w:spacing w:after="0" w:line="240" w:lineRule="auto"/>
        <w:rPr>
          <w:b/>
          <w:u w:val="single"/>
        </w:rPr>
      </w:pPr>
      <w:r w:rsidRPr="00A90B6F">
        <w:rPr>
          <w:b/>
          <w:u w:val="single"/>
        </w:rPr>
        <w:t>Impact of Proposal</w:t>
      </w:r>
    </w:p>
    <w:p w:rsidR="00AA396B" w:rsidRDefault="00AA396B" w:rsidP="00AA396B">
      <w:pPr>
        <w:spacing w:after="0" w:line="240" w:lineRule="auto"/>
      </w:pPr>
      <w:r>
        <w:t xml:space="preserve">The impact of this proposed change has been assessed </w:t>
      </w:r>
      <w:r w:rsidR="00CD0B1C">
        <w:t>through</w:t>
      </w:r>
      <w:r>
        <w:t xml:space="preserve"> a review of the </w:t>
      </w:r>
      <w:r w:rsidR="00A44382">
        <w:t>Major</w:t>
      </w:r>
      <w:r>
        <w:t xml:space="preserve"> Gifts account (managed by DDAR).</w:t>
      </w:r>
    </w:p>
    <w:p w:rsidR="00AA396B" w:rsidRDefault="00AA396B" w:rsidP="00AA396B">
      <w:pPr>
        <w:spacing w:after="0" w:line="240" w:lineRule="auto"/>
      </w:pPr>
    </w:p>
    <w:p w:rsidR="00AA396B" w:rsidRPr="006A7839" w:rsidRDefault="00AA396B" w:rsidP="00AA396B">
      <w:pPr>
        <w:spacing w:after="0" w:line="240" w:lineRule="auto"/>
        <w:rPr>
          <w:rFonts w:ascii="Calibri" w:eastAsia="Times New Roman" w:hAnsi="Calibri" w:cs="Times New Roman"/>
        </w:rPr>
      </w:pPr>
      <w:r>
        <w:rPr>
          <w:rFonts w:ascii="Calibri" w:eastAsia="Times New Roman" w:hAnsi="Calibri" w:cs="Times New Roman"/>
        </w:rPr>
        <w:t>As at 31</w:t>
      </w:r>
      <w:r w:rsidRPr="00AA396B">
        <w:rPr>
          <w:rFonts w:ascii="Calibri" w:eastAsia="Times New Roman" w:hAnsi="Calibri" w:cs="Times New Roman"/>
          <w:vertAlign w:val="superscript"/>
        </w:rPr>
        <w:t>st</w:t>
      </w:r>
      <w:r w:rsidR="00DF0DD9">
        <w:rPr>
          <w:rFonts w:ascii="Calibri" w:eastAsia="Times New Roman" w:hAnsi="Calibri" w:cs="Times New Roman"/>
        </w:rPr>
        <w:t xml:space="preserve"> July 2014, the Major</w:t>
      </w:r>
      <w:r>
        <w:rPr>
          <w:rFonts w:ascii="Calibri" w:eastAsia="Times New Roman" w:hAnsi="Calibri" w:cs="Times New Roman"/>
        </w:rPr>
        <w:t xml:space="preserve"> Gift account can be analysed, as follows</w:t>
      </w:r>
      <w:r w:rsidRPr="006A7839">
        <w:rPr>
          <w:rFonts w:ascii="Calibri" w:eastAsia="Times New Roman" w:hAnsi="Calibri" w:cs="Times New Roman"/>
        </w:rPr>
        <w:t>:</w:t>
      </w:r>
    </w:p>
    <w:p w:rsidR="00AA396B" w:rsidRPr="006A7839" w:rsidRDefault="00AA396B" w:rsidP="00AA396B">
      <w:pPr>
        <w:spacing w:after="0" w:line="240" w:lineRule="auto"/>
        <w:rPr>
          <w:rFonts w:ascii="Calibri" w:eastAsia="Times New Roman" w:hAnsi="Calibri" w:cs="Times New Roman"/>
        </w:rPr>
      </w:pPr>
    </w:p>
    <w:p w:rsidR="00AA396B" w:rsidRPr="006A7839" w:rsidRDefault="00AA396B" w:rsidP="00AA396B">
      <w:pPr>
        <w:numPr>
          <w:ilvl w:val="0"/>
          <w:numId w:val="6"/>
        </w:numPr>
        <w:spacing w:after="0" w:line="240" w:lineRule="auto"/>
        <w:rPr>
          <w:rFonts w:ascii="Calibri" w:eastAsia="Times New Roman" w:hAnsi="Calibri" w:cs="Times New Roman"/>
        </w:rPr>
      </w:pPr>
      <w:r w:rsidRPr="006A7839">
        <w:rPr>
          <w:rFonts w:ascii="Calibri" w:eastAsia="Times New Roman" w:hAnsi="Calibri" w:cs="Times New Roman"/>
        </w:rPr>
        <w:t>£3.5m of donation income</w:t>
      </w:r>
      <w:r w:rsidR="00CD0B1C">
        <w:rPr>
          <w:rFonts w:ascii="Calibri" w:eastAsia="Times New Roman" w:hAnsi="Calibri" w:cs="Times New Roman"/>
        </w:rPr>
        <w:t xml:space="preserve"> was received in </w:t>
      </w:r>
      <w:r w:rsidRPr="006A7839">
        <w:rPr>
          <w:rFonts w:ascii="Calibri" w:eastAsia="Times New Roman" w:hAnsi="Calibri" w:cs="Times New Roman"/>
        </w:rPr>
        <w:t>financial year 13/14</w:t>
      </w:r>
    </w:p>
    <w:p w:rsidR="00AA396B" w:rsidRPr="006A7839" w:rsidRDefault="00CD0B1C" w:rsidP="00AA396B">
      <w:pPr>
        <w:numPr>
          <w:ilvl w:val="0"/>
          <w:numId w:val="6"/>
        </w:numPr>
        <w:spacing w:after="0" w:line="240" w:lineRule="auto"/>
        <w:rPr>
          <w:rFonts w:ascii="Calibri" w:eastAsia="Times New Roman" w:hAnsi="Calibri" w:cs="Times New Roman"/>
        </w:rPr>
      </w:pPr>
      <w:r>
        <w:rPr>
          <w:rFonts w:ascii="Calibri" w:eastAsia="Times New Roman" w:hAnsi="Calibri" w:cs="Times New Roman"/>
        </w:rPr>
        <w:t>This</w:t>
      </w:r>
      <w:r w:rsidR="00AA396B" w:rsidRPr="006A7839">
        <w:rPr>
          <w:rFonts w:ascii="Calibri" w:eastAsia="Times New Roman" w:hAnsi="Calibri" w:cs="Times New Roman"/>
        </w:rPr>
        <w:t xml:space="preserve"> £3.5m </w:t>
      </w:r>
      <w:r>
        <w:rPr>
          <w:rFonts w:ascii="Calibri" w:eastAsia="Times New Roman" w:hAnsi="Calibri" w:cs="Times New Roman"/>
        </w:rPr>
        <w:t>comprised</w:t>
      </w:r>
      <w:r w:rsidR="00AA396B" w:rsidRPr="006A7839">
        <w:rPr>
          <w:rFonts w:ascii="Calibri" w:eastAsia="Times New Roman" w:hAnsi="Calibri" w:cs="Times New Roman"/>
        </w:rPr>
        <w:t xml:space="preserve"> o</w:t>
      </w:r>
      <w:r w:rsidR="00AA396B">
        <w:rPr>
          <w:rFonts w:ascii="Calibri" w:eastAsia="Times New Roman" w:hAnsi="Calibri" w:cs="Times New Roman"/>
        </w:rPr>
        <w:t>f nearly 100 separate donations</w:t>
      </w:r>
      <w:r w:rsidR="004E3DBB">
        <w:rPr>
          <w:rFonts w:ascii="Calibri" w:eastAsia="Times New Roman" w:hAnsi="Calibri" w:cs="Times New Roman"/>
        </w:rPr>
        <w:t xml:space="preserve"> (albeit, a number of these will be pledge instalments, rather than the full donation amount)</w:t>
      </w:r>
    </w:p>
    <w:p w:rsidR="00AA396B" w:rsidRPr="006A7839" w:rsidRDefault="00AA396B" w:rsidP="00AA396B">
      <w:pPr>
        <w:numPr>
          <w:ilvl w:val="0"/>
          <w:numId w:val="6"/>
        </w:numPr>
        <w:spacing w:after="0" w:line="240" w:lineRule="auto"/>
        <w:rPr>
          <w:rFonts w:ascii="Calibri" w:eastAsia="Times New Roman" w:hAnsi="Calibri" w:cs="Times New Roman"/>
        </w:rPr>
      </w:pPr>
      <w:r w:rsidRPr="006A7839">
        <w:rPr>
          <w:rFonts w:ascii="Calibri" w:eastAsia="Times New Roman" w:hAnsi="Calibri" w:cs="Times New Roman"/>
        </w:rPr>
        <w:t xml:space="preserve">Of these donations only </w:t>
      </w:r>
      <w:r>
        <w:rPr>
          <w:rFonts w:ascii="Calibri" w:eastAsia="Times New Roman" w:hAnsi="Calibri" w:cs="Times New Roman"/>
        </w:rPr>
        <w:t xml:space="preserve">13 were for a value of £50,000 or more; </w:t>
      </w:r>
      <w:r w:rsidRPr="006A7839">
        <w:rPr>
          <w:rFonts w:ascii="Calibri" w:eastAsia="Times New Roman" w:hAnsi="Calibri" w:cs="Times New Roman"/>
        </w:rPr>
        <w:t>32 were for a value of £10,000 or more</w:t>
      </w:r>
      <w:r>
        <w:rPr>
          <w:rFonts w:ascii="Calibri" w:eastAsia="Times New Roman" w:hAnsi="Calibri" w:cs="Times New Roman"/>
        </w:rPr>
        <w:t>,</w:t>
      </w:r>
      <w:r w:rsidRPr="006A7839">
        <w:rPr>
          <w:rFonts w:ascii="Calibri" w:eastAsia="Times New Roman" w:hAnsi="Calibri" w:cs="Times New Roman"/>
        </w:rPr>
        <w:t xml:space="preserve"> with the remaining</w:t>
      </w:r>
      <w:r w:rsidR="004E3DBB">
        <w:rPr>
          <w:rFonts w:ascii="Calibri" w:eastAsia="Times New Roman" w:hAnsi="Calibri" w:cs="Times New Roman"/>
        </w:rPr>
        <w:t xml:space="preserve"> </w:t>
      </w:r>
      <w:r w:rsidRPr="006A7839">
        <w:rPr>
          <w:rFonts w:ascii="Calibri" w:eastAsia="Times New Roman" w:hAnsi="Calibri" w:cs="Times New Roman"/>
        </w:rPr>
        <w:t>67 being under £10</w:t>
      </w:r>
      <w:r>
        <w:rPr>
          <w:rFonts w:ascii="Calibri" w:eastAsia="Times New Roman" w:hAnsi="Calibri" w:cs="Times New Roman"/>
        </w:rPr>
        <w:t>,000</w:t>
      </w:r>
      <w:r w:rsidRPr="006A7839">
        <w:rPr>
          <w:rFonts w:ascii="Calibri" w:eastAsia="Times New Roman" w:hAnsi="Calibri" w:cs="Times New Roman"/>
        </w:rPr>
        <w:t xml:space="preserve"> in value</w:t>
      </w:r>
    </w:p>
    <w:p w:rsidR="00AA396B" w:rsidRPr="006A7839" w:rsidRDefault="00AA396B" w:rsidP="00AA396B">
      <w:pPr>
        <w:spacing w:after="0" w:line="240" w:lineRule="auto"/>
        <w:rPr>
          <w:rFonts w:ascii="Calibri" w:eastAsia="Times New Roman" w:hAnsi="Calibri" w:cs="Times New Roman"/>
        </w:rPr>
      </w:pPr>
    </w:p>
    <w:tbl>
      <w:tblPr>
        <w:tblW w:w="5400" w:type="dxa"/>
        <w:tblInd w:w="93" w:type="dxa"/>
        <w:tblLook w:val="04A0" w:firstRow="1" w:lastRow="0" w:firstColumn="1" w:lastColumn="0" w:noHBand="0" w:noVBand="1"/>
      </w:tblPr>
      <w:tblGrid>
        <w:gridCol w:w="2740"/>
        <w:gridCol w:w="1240"/>
        <w:gridCol w:w="1420"/>
      </w:tblGrid>
      <w:tr w:rsidR="00390F0F" w:rsidRPr="00390F0F" w:rsidTr="00390F0F">
        <w:trPr>
          <w:trHeight w:val="1200"/>
        </w:trPr>
        <w:tc>
          <w:tcPr>
            <w:tcW w:w="27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Category</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No. of Donations Received</w:t>
            </w:r>
          </w:p>
        </w:tc>
        <w:tc>
          <w:tcPr>
            <w:tcW w:w="1420" w:type="dxa"/>
            <w:tcBorders>
              <w:top w:val="single" w:sz="8" w:space="0" w:color="auto"/>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Value of Donations Received (£000)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Over £1m</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1,500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Between £500k and £1m</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500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 xml:space="preserve">Between £250k and £500k </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250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 xml:space="preserve">Between £100k and £250k  </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3</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356</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 xml:space="preserve">Between £50k and £100k  </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7</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440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 xml:space="preserve">Between £25k and £50k  </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7</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230</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 xml:space="preserve">Between £10k and £25k </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12</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181</w:t>
            </w:r>
          </w:p>
        </w:tc>
      </w:tr>
      <w:tr w:rsidR="00390F0F" w:rsidRPr="00390F0F" w:rsidTr="00390F0F">
        <w:trPr>
          <w:trHeight w:val="300"/>
        </w:trPr>
        <w:tc>
          <w:tcPr>
            <w:tcW w:w="2740" w:type="dxa"/>
            <w:tcBorders>
              <w:top w:val="nil"/>
              <w:left w:val="single" w:sz="8" w:space="0" w:color="auto"/>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Under £10k</w:t>
            </w:r>
          </w:p>
        </w:tc>
        <w:tc>
          <w:tcPr>
            <w:tcW w:w="1240" w:type="dxa"/>
            <w:tcBorders>
              <w:top w:val="nil"/>
              <w:left w:val="nil"/>
              <w:bottom w:val="single" w:sz="4"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67</w:t>
            </w:r>
          </w:p>
        </w:tc>
        <w:tc>
          <w:tcPr>
            <w:tcW w:w="1420" w:type="dxa"/>
            <w:tcBorders>
              <w:top w:val="nil"/>
              <w:left w:val="nil"/>
              <w:bottom w:val="single" w:sz="4"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color w:val="000000"/>
                <w:lang w:eastAsia="en-GB"/>
              </w:rPr>
            </w:pPr>
            <w:r w:rsidRPr="00390F0F">
              <w:rPr>
                <w:rFonts w:ascii="Calibri" w:eastAsia="Times New Roman" w:hAnsi="Calibri" w:cs="Times New Roman"/>
                <w:color w:val="000000"/>
                <w:lang w:eastAsia="en-GB"/>
              </w:rPr>
              <w:t>105</w:t>
            </w:r>
          </w:p>
        </w:tc>
      </w:tr>
      <w:tr w:rsidR="00390F0F" w:rsidRPr="00390F0F" w:rsidTr="00390F0F">
        <w:trPr>
          <w:trHeight w:val="315"/>
        </w:trPr>
        <w:tc>
          <w:tcPr>
            <w:tcW w:w="2740" w:type="dxa"/>
            <w:tcBorders>
              <w:top w:val="nil"/>
              <w:left w:val="single" w:sz="8" w:space="0" w:color="auto"/>
              <w:bottom w:val="single" w:sz="8" w:space="0" w:color="auto"/>
              <w:right w:val="single" w:sz="4" w:space="0" w:color="auto"/>
            </w:tcBorders>
            <w:shd w:val="clear" w:color="auto" w:fill="auto"/>
            <w:vAlign w:val="center"/>
            <w:hideMark/>
          </w:tcPr>
          <w:p w:rsidR="00390F0F" w:rsidRPr="00390F0F" w:rsidRDefault="00390F0F" w:rsidP="00390F0F">
            <w:pPr>
              <w:spacing w:after="0" w:line="240" w:lineRule="auto"/>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TOTAL</w:t>
            </w:r>
          </w:p>
        </w:tc>
        <w:tc>
          <w:tcPr>
            <w:tcW w:w="1240" w:type="dxa"/>
            <w:tcBorders>
              <w:top w:val="nil"/>
              <w:left w:val="nil"/>
              <w:bottom w:val="single" w:sz="8" w:space="0" w:color="auto"/>
              <w:right w:val="single" w:sz="4"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99</w:t>
            </w:r>
          </w:p>
        </w:tc>
        <w:tc>
          <w:tcPr>
            <w:tcW w:w="1420" w:type="dxa"/>
            <w:tcBorders>
              <w:top w:val="nil"/>
              <w:left w:val="nil"/>
              <w:bottom w:val="single" w:sz="8" w:space="0" w:color="auto"/>
              <w:right w:val="single" w:sz="8" w:space="0" w:color="auto"/>
            </w:tcBorders>
            <w:shd w:val="clear" w:color="auto" w:fill="auto"/>
            <w:vAlign w:val="center"/>
            <w:hideMark/>
          </w:tcPr>
          <w:p w:rsidR="00390F0F" w:rsidRPr="00390F0F" w:rsidRDefault="00390F0F" w:rsidP="00390F0F">
            <w:pPr>
              <w:spacing w:after="0" w:line="240" w:lineRule="auto"/>
              <w:jc w:val="center"/>
              <w:rPr>
                <w:rFonts w:ascii="Calibri" w:eastAsia="Times New Roman" w:hAnsi="Calibri" w:cs="Times New Roman"/>
                <w:b/>
                <w:bCs/>
                <w:color w:val="000000"/>
                <w:lang w:eastAsia="en-GB"/>
              </w:rPr>
            </w:pPr>
            <w:r w:rsidRPr="00390F0F">
              <w:rPr>
                <w:rFonts w:ascii="Calibri" w:eastAsia="Times New Roman" w:hAnsi="Calibri" w:cs="Times New Roman"/>
                <w:b/>
                <w:bCs/>
                <w:color w:val="000000"/>
                <w:lang w:eastAsia="en-GB"/>
              </w:rPr>
              <w:t>3,562</w:t>
            </w:r>
          </w:p>
        </w:tc>
      </w:tr>
    </w:tbl>
    <w:p w:rsidR="00D34EC3" w:rsidRDefault="00D34EC3" w:rsidP="0041648A">
      <w:pPr>
        <w:spacing w:after="0" w:line="240" w:lineRule="auto"/>
      </w:pPr>
    </w:p>
    <w:p w:rsidR="00AA396B" w:rsidRDefault="00CD0B1C" w:rsidP="0041648A">
      <w:pPr>
        <w:spacing w:after="0" w:line="240" w:lineRule="auto"/>
      </w:pPr>
      <w:r>
        <w:t>A similar analysis of the volume of 2014/15 dona</w:t>
      </w:r>
      <w:r w:rsidR="00DF0DD9">
        <w:t>tions accounted for via Major</w:t>
      </w:r>
      <w:r>
        <w:t xml:space="preserve"> Gifts account will be produced at the end of this financial year, and a cost/benefit analysis performed</w:t>
      </w:r>
      <w:r w:rsidR="00443E62">
        <w:t xml:space="preserve"> to review whether the above proposal is</w:t>
      </w:r>
      <w:r w:rsidR="00FC455F">
        <w:t xml:space="preserve"> still considered to be</w:t>
      </w:r>
      <w:r w:rsidR="00390F0F">
        <w:t xml:space="preserve"> the most appropriate threshold</w:t>
      </w:r>
      <w:r>
        <w:t>.</w:t>
      </w:r>
    </w:p>
    <w:p w:rsidR="00D34EC3" w:rsidRDefault="00D34EC3" w:rsidP="0041648A">
      <w:pPr>
        <w:spacing w:after="0" w:line="240" w:lineRule="auto"/>
      </w:pPr>
    </w:p>
    <w:p w:rsidR="0041648A" w:rsidRPr="00A90B6F" w:rsidRDefault="00B51272" w:rsidP="0041648A">
      <w:pPr>
        <w:spacing w:after="0" w:line="240" w:lineRule="auto"/>
        <w:rPr>
          <w:b/>
          <w:sz w:val="28"/>
          <w:szCs w:val="28"/>
          <w:u w:val="single"/>
        </w:rPr>
      </w:pPr>
      <w:r w:rsidRPr="00A90B6F">
        <w:rPr>
          <w:b/>
          <w:sz w:val="28"/>
          <w:szCs w:val="28"/>
          <w:u w:val="single"/>
        </w:rPr>
        <w:t>Endowments</w:t>
      </w:r>
      <w:r w:rsidR="00C71509" w:rsidRPr="00A90B6F">
        <w:rPr>
          <w:b/>
          <w:sz w:val="28"/>
          <w:szCs w:val="28"/>
          <w:u w:val="single"/>
        </w:rPr>
        <w:t xml:space="preserve"> </w:t>
      </w:r>
    </w:p>
    <w:p w:rsidR="00A90B6F" w:rsidRDefault="00AF4A68" w:rsidP="00A90B6F">
      <w:pPr>
        <w:spacing w:after="0" w:line="240" w:lineRule="auto"/>
      </w:pPr>
      <w:r>
        <w:t>Under the 2015 SORP, t</w:t>
      </w:r>
      <w:r w:rsidR="00A90B6F">
        <w:t>here are no changes to the classifications of</w:t>
      </w:r>
      <w:r>
        <w:t xml:space="preserve"> endowments, which a</w:t>
      </w:r>
      <w:r w:rsidR="00A90B6F">
        <w:t>re as follows:</w:t>
      </w:r>
    </w:p>
    <w:p w:rsidR="00A90B6F" w:rsidRDefault="00A90B6F" w:rsidP="00A90B6F">
      <w:pPr>
        <w:pStyle w:val="ListParagraph"/>
        <w:numPr>
          <w:ilvl w:val="0"/>
          <w:numId w:val="7"/>
        </w:numPr>
        <w:spacing w:after="0" w:line="240" w:lineRule="auto"/>
      </w:pPr>
      <w:r>
        <w:t>restricted permanent</w:t>
      </w:r>
    </w:p>
    <w:p w:rsidR="00A90B6F" w:rsidRDefault="00A90B6F" w:rsidP="00A90B6F">
      <w:pPr>
        <w:pStyle w:val="ListParagraph"/>
        <w:numPr>
          <w:ilvl w:val="0"/>
          <w:numId w:val="7"/>
        </w:numPr>
        <w:spacing w:after="0" w:line="240" w:lineRule="auto"/>
      </w:pPr>
      <w:r>
        <w:t>unrestricted permanent</w:t>
      </w:r>
    </w:p>
    <w:p w:rsidR="00A90B6F" w:rsidRDefault="00A90B6F" w:rsidP="00A90B6F">
      <w:pPr>
        <w:pStyle w:val="ListParagraph"/>
        <w:numPr>
          <w:ilvl w:val="0"/>
          <w:numId w:val="7"/>
        </w:numPr>
        <w:spacing w:after="0" w:line="240" w:lineRule="auto"/>
      </w:pPr>
      <w:r>
        <w:t>restricted expendable</w:t>
      </w:r>
    </w:p>
    <w:p w:rsidR="00A90B6F" w:rsidRDefault="00A90B6F" w:rsidP="00A90B6F">
      <w:pPr>
        <w:spacing w:after="0" w:line="240" w:lineRule="auto"/>
      </w:pPr>
    </w:p>
    <w:p w:rsidR="00C408E8" w:rsidRDefault="00C408E8" w:rsidP="00A90B6F">
      <w:pPr>
        <w:spacing w:after="0" w:line="240" w:lineRule="auto"/>
      </w:pPr>
      <w:r>
        <w:t>Accounting for endowments was complex under the 2007 SORP, and becomes e</w:t>
      </w:r>
      <w:r w:rsidR="00F6201F">
        <w:t>ven more so under the 2015 SORP.  This is</w:t>
      </w:r>
      <w:r>
        <w:t xml:space="preserve"> due to the introduction of the concept of restricted</w:t>
      </w:r>
      <w:r w:rsidR="003E3A56">
        <w:t xml:space="preserve"> reserves.  In addition to this (and</w:t>
      </w:r>
      <w:r w:rsidR="00F6201F">
        <w:t xml:space="preserve"> as it was previously</w:t>
      </w:r>
      <w:r w:rsidR="003E3A56">
        <w:t>)</w:t>
      </w:r>
      <w:r w:rsidR="00F6201F">
        <w:t>,</w:t>
      </w:r>
      <w:r>
        <w:t xml:space="preserve"> separate administrative and governance processes are required for each individual endowment, for which there are costs associated.  </w:t>
      </w:r>
    </w:p>
    <w:p w:rsidR="00C408E8" w:rsidRDefault="00C408E8" w:rsidP="00A90B6F">
      <w:pPr>
        <w:spacing w:after="0" w:line="240" w:lineRule="auto"/>
      </w:pPr>
    </w:p>
    <w:p w:rsidR="00F6201F" w:rsidRDefault="00C408E8" w:rsidP="00A90B6F">
      <w:pPr>
        <w:spacing w:after="0" w:line="240" w:lineRule="auto"/>
      </w:pPr>
      <w:r>
        <w:t>Per the 2015 SORP, ‘</w:t>
      </w:r>
      <w:r>
        <w:rPr>
          <w:i/>
        </w:rPr>
        <w:t xml:space="preserve">a donation to establish an endowment fund, which prohibits </w:t>
      </w:r>
      <w:r w:rsidR="00F6201F">
        <w:rPr>
          <w:i/>
        </w:rPr>
        <w:t>the conversion of the capital into income, creates a permanent endowment fund.  A permanent endowment fund must generally be held indefinitely</w:t>
      </w:r>
      <w:r w:rsidR="00F6201F">
        <w:t xml:space="preserve">.’  </w:t>
      </w:r>
    </w:p>
    <w:p w:rsidR="00F6201F" w:rsidRDefault="00F6201F" w:rsidP="00A90B6F">
      <w:pPr>
        <w:spacing w:after="0" w:line="240" w:lineRule="auto"/>
      </w:pPr>
    </w:p>
    <w:p w:rsidR="003E3A56" w:rsidRDefault="00F6201F" w:rsidP="00A90B6F">
      <w:pPr>
        <w:spacing w:after="0" w:line="240" w:lineRule="auto"/>
      </w:pPr>
      <w:r>
        <w:t xml:space="preserve">Therefore, the University can only spend the accumulated income earned on a permanent endowment, and cannot spend the capital.  For the University to derive benefit from a permanent </w:t>
      </w:r>
      <w:r>
        <w:lastRenderedPageBreak/>
        <w:t xml:space="preserve">endowment, the accumulated income earned in a year would need to exceed the annual costs of administering the fund.  The amount of accumulated income earned on the fund is dependent on the capital amount.  Setting a de </w:t>
      </w:r>
      <w:proofErr w:type="spellStart"/>
      <w:r>
        <w:t>minimis</w:t>
      </w:r>
      <w:proofErr w:type="spellEnd"/>
      <w:r>
        <w:t xml:space="preserve"> threshold on the capital amount required to set up a permanent endowment would ensure that</w:t>
      </w:r>
      <w:r w:rsidR="003E3A56">
        <w:t xml:space="preserve"> for each new endowment the benefits will exceed the costs.</w:t>
      </w:r>
      <w:r w:rsidR="009B633D">
        <w:t xml:space="preserve">  In addition, regardless of whether the capital must be held permanently or not, Charity Law requires the income earned to be spent “within a reasonable period of receipt”</w:t>
      </w:r>
      <w:r w:rsidR="00051664">
        <w:t>.</w:t>
      </w:r>
    </w:p>
    <w:p w:rsidR="003E3A56" w:rsidRDefault="003E3A56" w:rsidP="00A90B6F">
      <w:pPr>
        <w:spacing w:after="0" w:line="240" w:lineRule="auto"/>
      </w:pPr>
    </w:p>
    <w:p w:rsidR="00C408E8" w:rsidRPr="00DF0DD9" w:rsidRDefault="00C408E8" w:rsidP="00C408E8">
      <w:pPr>
        <w:spacing w:after="0" w:line="240" w:lineRule="auto"/>
      </w:pPr>
      <w:r w:rsidRPr="00A90B6F">
        <w:rPr>
          <w:b/>
          <w:u w:val="single"/>
        </w:rPr>
        <w:t xml:space="preserve">Proposal </w:t>
      </w:r>
      <w:r>
        <w:rPr>
          <w:b/>
          <w:u w:val="single"/>
        </w:rPr>
        <w:t>–</w:t>
      </w:r>
      <w:r w:rsidRPr="00A90B6F">
        <w:rPr>
          <w:b/>
          <w:u w:val="single"/>
        </w:rPr>
        <w:t xml:space="preserve"> </w:t>
      </w:r>
      <w:r w:rsidR="007F7A63">
        <w:rPr>
          <w:b/>
          <w:u w:val="single"/>
        </w:rPr>
        <w:t>Endowments</w:t>
      </w:r>
    </w:p>
    <w:tbl>
      <w:tblPr>
        <w:tblW w:w="0" w:type="auto"/>
        <w:tblInd w:w="93" w:type="dxa"/>
        <w:tblLook w:val="04A0" w:firstRow="1" w:lastRow="0" w:firstColumn="1" w:lastColumn="0" w:noHBand="0" w:noVBand="1"/>
      </w:tblPr>
      <w:tblGrid>
        <w:gridCol w:w="222"/>
        <w:gridCol w:w="8705"/>
        <w:gridCol w:w="222"/>
      </w:tblGrid>
      <w:tr w:rsidR="007F7A63" w:rsidRPr="007F7A63" w:rsidTr="007B533B">
        <w:trPr>
          <w:trHeight w:val="130"/>
        </w:trPr>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r>
      <w:tr w:rsidR="007F7A63" w:rsidRPr="007F7A63" w:rsidTr="007B533B">
        <w:trPr>
          <w:trHeight w:val="4080"/>
        </w:trPr>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c>
          <w:tcPr>
            <w:tcW w:w="0" w:type="auto"/>
            <w:tcBorders>
              <w:top w:val="single" w:sz="8" w:space="0" w:color="auto"/>
              <w:left w:val="single" w:sz="8" w:space="0" w:color="auto"/>
              <w:bottom w:val="single" w:sz="8" w:space="0" w:color="auto"/>
              <w:right w:val="single" w:sz="8" w:space="0" w:color="auto"/>
            </w:tcBorders>
            <w:shd w:val="clear" w:color="auto" w:fill="auto"/>
            <w:vAlign w:val="bottom"/>
            <w:hideMark/>
          </w:tcPr>
          <w:p w:rsidR="00974457" w:rsidRDefault="007F7A63" w:rsidP="007F7A63">
            <w:pPr>
              <w:spacing w:after="0" w:line="240" w:lineRule="auto"/>
              <w:rPr>
                <w:rFonts w:ascii="Calibri" w:eastAsia="Symbol" w:hAnsi="Calibri" w:cs="Symbol"/>
                <w:color w:val="000000"/>
                <w:lang w:eastAsia="en-GB"/>
              </w:rPr>
            </w:pPr>
            <w:bookmarkStart w:id="0" w:name="OLE_LINK1"/>
            <w:r>
              <w:rPr>
                <w:rFonts w:ascii="Calibri" w:eastAsia="Symbol" w:hAnsi="Calibri" w:cs="Symbol"/>
                <w:color w:val="000000"/>
                <w:lang w:eastAsia="en-GB"/>
              </w:rPr>
              <w:t>It is proposed:</w:t>
            </w:r>
          </w:p>
          <w:p w:rsidR="00EE6C9F" w:rsidRDefault="007F7A63" w:rsidP="00196E1E">
            <w:pPr>
              <w:spacing w:after="0" w:line="240" w:lineRule="auto"/>
              <w:rPr>
                <w:rFonts w:ascii="Calibri" w:eastAsia="Symbol" w:hAnsi="Calibri" w:cs="Symbol"/>
                <w:color w:val="000000"/>
                <w:lang w:eastAsia="en-GB"/>
              </w:rPr>
            </w:pPr>
            <w:r w:rsidRPr="007F7A63">
              <w:rPr>
                <w:rFonts w:ascii="Calibri" w:eastAsia="Symbol" w:hAnsi="Calibri" w:cs="Symbol"/>
                <w:color w:val="000000"/>
                <w:lang w:eastAsia="en-GB"/>
              </w:rPr>
              <w:br/>
              <w:t xml:space="preserve">• to set a </w:t>
            </w:r>
            <w:r w:rsidRPr="007F7A63">
              <w:rPr>
                <w:rFonts w:ascii="Calibri" w:eastAsia="Symbol" w:hAnsi="Calibri" w:cs="Symbol"/>
                <w:b/>
                <w:color w:val="000000"/>
                <w:lang w:eastAsia="en-GB"/>
              </w:rPr>
              <w:t xml:space="preserve">de </w:t>
            </w:r>
            <w:proofErr w:type="spellStart"/>
            <w:r w:rsidRPr="007F7A63">
              <w:rPr>
                <w:rFonts w:ascii="Calibri" w:eastAsia="Symbol" w:hAnsi="Calibri" w:cs="Symbol"/>
                <w:b/>
                <w:color w:val="000000"/>
                <w:lang w:eastAsia="en-GB"/>
              </w:rPr>
              <w:t>minimis</w:t>
            </w:r>
            <w:proofErr w:type="spellEnd"/>
            <w:r w:rsidRPr="007F7A63">
              <w:rPr>
                <w:rFonts w:ascii="Calibri" w:eastAsia="Symbol" w:hAnsi="Calibri" w:cs="Symbol"/>
                <w:b/>
                <w:color w:val="000000"/>
                <w:lang w:eastAsia="en-GB"/>
              </w:rPr>
              <w:t xml:space="preserve"> threshold of £100,000</w:t>
            </w:r>
            <w:r w:rsidRPr="007F7A63">
              <w:rPr>
                <w:rFonts w:ascii="Calibri" w:eastAsia="Symbol" w:hAnsi="Calibri" w:cs="Symbol"/>
                <w:color w:val="000000"/>
                <w:lang w:eastAsia="en-GB"/>
              </w:rPr>
              <w:t xml:space="preserve"> for setting up a </w:t>
            </w:r>
            <w:r w:rsidRPr="007F7A63">
              <w:rPr>
                <w:rFonts w:ascii="Calibri" w:eastAsia="Symbol" w:hAnsi="Calibri" w:cs="Symbol"/>
                <w:b/>
                <w:color w:val="000000"/>
                <w:lang w:eastAsia="en-GB"/>
              </w:rPr>
              <w:t>permanent endowment</w:t>
            </w:r>
            <w:r w:rsidRPr="007F7A63">
              <w:rPr>
                <w:rFonts w:ascii="Calibri" w:eastAsia="Symbol" w:hAnsi="Calibri" w:cs="Symbol"/>
                <w:color w:val="000000"/>
                <w:lang w:eastAsia="en-GB"/>
              </w:rPr>
              <w:t xml:space="preserve"> (in line with Oxford University)</w:t>
            </w:r>
            <w:r w:rsidRPr="007F7A63">
              <w:rPr>
                <w:rFonts w:ascii="Calibri" w:eastAsia="Symbol" w:hAnsi="Calibri" w:cs="Symbol"/>
                <w:color w:val="000000"/>
                <w:lang w:eastAsia="en-GB"/>
              </w:rPr>
              <w:br/>
            </w:r>
            <w:r w:rsidRPr="007F7A63">
              <w:rPr>
                <w:rFonts w:ascii="Calibri" w:eastAsia="Symbol" w:hAnsi="Calibri" w:cs="Symbol"/>
                <w:color w:val="000000"/>
                <w:lang w:eastAsia="en-GB"/>
              </w:rPr>
              <w:br/>
              <w:t xml:space="preserve">• it will be </w:t>
            </w:r>
            <w:r w:rsidRPr="007F7A63">
              <w:rPr>
                <w:rFonts w:ascii="Calibri" w:eastAsia="Symbol" w:hAnsi="Calibri" w:cs="Symbol"/>
                <w:b/>
                <w:color w:val="000000"/>
                <w:lang w:eastAsia="en-GB"/>
              </w:rPr>
              <w:t>permissible</w:t>
            </w:r>
            <w:r w:rsidRPr="007F7A63">
              <w:rPr>
                <w:rFonts w:ascii="Calibri" w:eastAsia="Symbol" w:hAnsi="Calibri" w:cs="Symbol"/>
                <w:color w:val="000000"/>
                <w:lang w:eastAsia="en-GB"/>
              </w:rPr>
              <w:t xml:space="preserve"> for a donor to set up a </w:t>
            </w:r>
            <w:r w:rsidRPr="007F7A63">
              <w:rPr>
                <w:rFonts w:ascii="Calibri" w:eastAsia="Symbol" w:hAnsi="Calibri" w:cs="Symbol"/>
                <w:b/>
                <w:color w:val="000000"/>
                <w:lang w:eastAsia="en-GB"/>
              </w:rPr>
              <w:t>restricted expendable endowment</w:t>
            </w:r>
            <w:r w:rsidRPr="007F7A63">
              <w:rPr>
                <w:rFonts w:ascii="Calibri" w:eastAsia="Symbol" w:hAnsi="Calibri" w:cs="Symbol"/>
                <w:color w:val="000000"/>
                <w:lang w:eastAsia="en-GB"/>
              </w:rPr>
              <w:t xml:space="preserve"> of a capital value </w:t>
            </w:r>
            <w:r w:rsidRPr="007F7A63">
              <w:rPr>
                <w:rFonts w:ascii="Calibri" w:eastAsia="Symbol" w:hAnsi="Calibri" w:cs="Symbol"/>
                <w:b/>
                <w:color w:val="000000"/>
                <w:lang w:eastAsia="en-GB"/>
              </w:rPr>
              <w:t>less than £100,000</w:t>
            </w:r>
            <w:r w:rsidRPr="007F7A63">
              <w:rPr>
                <w:rFonts w:ascii="Calibri" w:eastAsia="Symbol" w:hAnsi="Calibri" w:cs="Symbol"/>
                <w:color w:val="000000"/>
                <w:lang w:eastAsia="en-GB"/>
              </w:rPr>
              <w:t>; however,</w:t>
            </w:r>
            <w:r w:rsidRPr="007F7A63">
              <w:rPr>
                <w:rFonts w:ascii="Calibri" w:eastAsia="Symbol" w:hAnsi="Calibri" w:cs="Symbol"/>
                <w:color w:val="000000"/>
                <w:lang w:eastAsia="en-GB"/>
              </w:rPr>
              <w:br/>
            </w:r>
            <w:r w:rsidRPr="007F7A63">
              <w:rPr>
                <w:rFonts w:ascii="Calibri" w:eastAsia="Symbol" w:hAnsi="Calibri" w:cs="Symbol"/>
                <w:color w:val="000000"/>
                <w:lang w:eastAsia="en-GB"/>
              </w:rPr>
              <w:br/>
              <w:t xml:space="preserve">• any proposed restricted expendable endowments less than £100,000 must be </w:t>
            </w:r>
            <w:r w:rsidR="00196E1E">
              <w:rPr>
                <w:rFonts w:ascii="Calibri" w:eastAsia="Symbol" w:hAnsi="Calibri" w:cs="Symbol"/>
                <w:color w:val="000000"/>
                <w:lang w:eastAsia="en-GB"/>
              </w:rPr>
              <w:t>approv</w:t>
            </w:r>
            <w:r w:rsidR="00196E1E" w:rsidRPr="007F7A63">
              <w:rPr>
                <w:rFonts w:ascii="Calibri" w:eastAsia="Symbol" w:hAnsi="Calibri" w:cs="Symbol"/>
                <w:color w:val="000000"/>
                <w:lang w:eastAsia="en-GB"/>
              </w:rPr>
              <w:t xml:space="preserve">ed </w:t>
            </w:r>
            <w:r w:rsidRPr="007F7A63">
              <w:rPr>
                <w:rFonts w:ascii="Calibri" w:eastAsia="Symbol" w:hAnsi="Calibri" w:cs="Symbol"/>
                <w:color w:val="000000"/>
                <w:lang w:eastAsia="en-GB"/>
              </w:rPr>
              <w:t>by</w:t>
            </w:r>
            <w:r w:rsidR="004E3DBB">
              <w:rPr>
                <w:rFonts w:ascii="Calibri" w:eastAsia="Symbol" w:hAnsi="Calibri" w:cs="Symbol"/>
                <w:color w:val="000000"/>
                <w:lang w:eastAsia="en-GB"/>
              </w:rPr>
              <w:t xml:space="preserve"> F</w:t>
            </w:r>
            <w:r w:rsidR="003B7755">
              <w:rPr>
                <w:rFonts w:ascii="Calibri" w:eastAsia="Symbol" w:hAnsi="Calibri" w:cs="Symbol"/>
                <w:color w:val="000000"/>
                <w:lang w:eastAsia="en-GB"/>
              </w:rPr>
              <w:t xml:space="preserve">inance </w:t>
            </w:r>
            <w:r w:rsidR="004E3DBB">
              <w:rPr>
                <w:rFonts w:ascii="Calibri" w:eastAsia="Symbol" w:hAnsi="Calibri" w:cs="Symbol"/>
                <w:color w:val="000000"/>
                <w:lang w:eastAsia="en-GB"/>
              </w:rPr>
              <w:t>S</w:t>
            </w:r>
            <w:r w:rsidR="003B7755">
              <w:rPr>
                <w:rFonts w:ascii="Calibri" w:eastAsia="Symbol" w:hAnsi="Calibri" w:cs="Symbol"/>
                <w:color w:val="000000"/>
                <w:lang w:eastAsia="en-GB"/>
              </w:rPr>
              <w:t xml:space="preserve">ub </w:t>
            </w:r>
            <w:r w:rsidR="004E3DBB">
              <w:rPr>
                <w:rFonts w:ascii="Calibri" w:eastAsia="Symbol" w:hAnsi="Calibri" w:cs="Symbol"/>
                <w:color w:val="000000"/>
                <w:lang w:eastAsia="en-GB"/>
              </w:rPr>
              <w:t>C</w:t>
            </w:r>
            <w:r w:rsidR="003B7755">
              <w:rPr>
                <w:rFonts w:ascii="Calibri" w:eastAsia="Symbol" w:hAnsi="Calibri" w:cs="Symbol"/>
                <w:color w:val="000000"/>
                <w:lang w:eastAsia="en-GB"/>
              </w:rPr>
              <w:t>ommittee</w:t>
            </w:r>
          </w:p>
          <w:p w:rsidR="007F7A63" w:rsidRPr="007F7A63" w:rsidRDefault="007F7A63" w:rsidP="00196E1E">
            <w:pPr>
              <w:spacing w:after="0" w:line="240" w:lineRule="auto"/>
              <w:rPr>
                <w:rFonts w:ascii="Calibri" w:eastAsia="Times New Roman" w:hAnsi="Calibri" w:cs="Times New Roman"/>
                <w:color w:val="000000"/>
                <w:lang w:eastAsia="en-GB"/>
              </w:rPr>
            </w:pPr>
            <w:r w:rsidRPr="007F7A63">
              <w:rPr>
                <w:rFonts w:ascii="Calibri" w:eastAsia="Symbol" w:hAnsi="Calibri" w:cs="Symbol"/>
                <w:color w:val="000000"/>
                <w:lang w:eastAsia="en-GB"/>
              </w:rPr>
              <w:t xml:space="preserve">  </w:t>
            </w:r>
            <w:r w:rsidRPr="007F7A63">
              <w:rPr>
                <w:rFonts w:ascii="Calibri" w:eastAsia="Symbol" w:hAnsi="Calibri" w:cs="Symbol"/>
                <w:color w:val="000000"/>
                <w:lang w:eastAsia="en-GB"/>
              </w:rPr>
              <w:br/>
              <w:t xml:space="preserve">DDAR will discourage donors from setting up restricted expendable endowments of a </w:t>
            </w:r>
            <w:r w:rsidR="00255E5C">
              <w:rPr>
                <w:rFonts w:ascii="Calibri" w:eastAsia="Symbol" w:hAnsi="Calibri" w:cs="Symbol"/>
                <w:color w:val="000000"/>
                <w:lang w:eastAsia="en-GB"/>
              </w:rPr>
              <w:t>capital value less than £50,000, unless there is a strategic reason for doing otherwise.</w:t>
            </w:r>
            <w:r w:rsidR="009B633D">
              <w:rPr>
                <w:rFonts w:ascii="Calibri" w:eastAsia="Symbol" w:hAnsi="Calibri" w:cs="Symbol"/>
                <w:color w:val="000000"/>
                <w:lang w:eastAsia="en-GB"/>
              </w:rPr>
              <w:t xml:space="preserve">  </w:t>
            </w:r>
            <w:r w:rsidR="00A87F37">
              <w:rPr>
                <w:rFonts w:ascii="Calibri" w:eastAsia="Symbol" w:hAnsi="Calibri" w:cs="Symbol"/>
                <w:color w:val="000000"/>
                <w:lang w:eastAsia="en-GB"/>
              </w:rPr>
              <w:t>Where possible</w:t>
            </w:r>
            <w:r w:rsidR="009B633D">
              <w:rPr>
                <w:rFonts w:ascii="Calibri" w:eastAsia="Symbol" w:hAnsi="Calibri" w:cs="Symbol"/>
                <w:color w:val="000000"/>
                <w:lang w:eastAsia="en-GB"/>
              </w:rPr>
              <w:t xml:space="preserve"> DDAR will encourage donors to add to the new endowment funds being created as a result of the restructure of the pre 2004 endowments.</w:t>
            </w:r>
            <w:bookmarkEnd w:id="0"/>
          </w:p>
        </w:tc>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r>
      <w:tr w:rsidR="007F7A63" w:rsidRPr="007F7A63" w:rsidTr="007F7A63">
        <w:trPr>
          <w:trHeight w:val="300"/>
        </w:trPr>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7F7A63" w:rsidRPr="007F7A63" w:rsidRDefault="007F7A63" w:rsidP="007F7A63">
            <w:pPr>
              <w:spacing w:after="0" w:line="240" w:lineRule="auto"/>
              <w:rPr>
                <w:rFonts w:ascii="Calibri" w:eastAsia="Times New Roman" w:hAnsi="Calibri" w:cs="Times New Roman"/>
                <w:color w:val="000000"/>
                <w:lang w:eastAsia="en-GB"/>
              </w:rPr>
            </w:pPr>
          </w:p>
        </w:tc>
      </w:tr>
    </w:tbl>
    <w:p w:rsidR="00C408E8" w:rsidRDefault="00C408E8" w:rsidP="00C408E8">
      <w:pPr>
        <w:spacing w:after="0" w:line="240" w:lineRule="auto"/>
      </w:pPr>
      <w:r>
        <w:t>This proposal has been discussed and agreed with Chris Cox and his team within DDAR.</w:t>
      </w:r>
    </w:p>
    <w:p w:rsidR="00D34EC3" w:rsidRDefault="00D34EC3" w:rsidP="0041648A">
      <w:pPr>
        <w:spacing w:after="0" w:line="240" w:lineRule="auto"/>
        <w:rPr>
          <w:b/>
          <w:u w:val="single"/>
        </w:rPr>
      </w:pPr>
    </w:p>
    <w:p w:rsidR="00D34EC3" w:rsidRPr="00A90B6F" w:rsidRDefault="00D34EC3" w:rsidP="0041648A">
      <w:pPr>
        <w:spacing w:after="0" w:line="240" w:lineRule="auto"/>
        <w:rPr>
          <w:b/>
          <w:sz w:val="28"/>
          <w:szCs w:val="28"/>
          <w:u w:val="single"/>
        </w:rPr>
      </w:pPr>
      <w:r w:rsidRPr="00A90B6F">
        <w:rPr>
          <w:b/>
          <w:sz w:val="28"/>
          <w:szCs w:val="28"/>
          <w:u w:val="single"/>
        </w:rPr>
        <w:t>Recommendation</w:t>
      </w:r>
    </w:p>
    <w:p w:rsidR="00D34EC3" w:rsidRDefault="00A90B6F" w:rsidP="0041648A">
      <w:pPr>
        <w:spacing w:after="0" w:line="240" w:lineRule="auto"/>
      </w:pPr>
      <w:r>
        <w:t xml:space="preserve">The Committee is asked to </w:t>
      </w:r>
      <w:r w:rsidRPr="00A90B6F">
        <w:rPr>
          <w:b/>
        </w:rPr>
        <w:t>approve</w:t>
      </w:r>
      <w:r>
        <w:t>:</w:t>
      </w:r>
    </w:p>
    <w:p w:rsidR="00A90B6F" w:rsidRDefault="00A90B6F" w:rsidP="0041648A">
      <w:pPr>
        <w:spacing w:after="0" w:line="240" w:lineRule="auto"/>
      </w:pPr>
    </w:p>
    <w:p w:rsidR="00DD75FC" w:rsidRDefault="00A90B6F" w:rsidP="00A44382">
      <w:pPr>
        <w:spacing w:after="0" w:line="240" w:lineRule="auto"/>
        <w:rPr>
          <w:b/>
          <w:u w:val="single"/>
        </w:rPr>
      </w:pPr>
      <w:r w:rsidRPr="00A90B6F">
        <w:rPr>
          <w:b/>
          <w:u w:val="single"/>
        </w:rPr>
        <w:t>Donations</w:t>
      </w:r>
    </w:p>
    <w:p w:rsidR="00A44382" w:rsidRPr="00DD75FC" w:rsidRDefault="00A44382" w:rsidP="00DD75FC">
      <w:pPr>
        <w:pStyle w:val="ListParagraph"/>
        <w:numPr>
          <w:ilvl w:val="0"/>
          <w:numId w:val="14"/>
        </w:numPr>
        <w:spacing w:after="0" w:line="240" w:lineRule="auto"/>
        <w:rPr>
          <w:b/>
          <w:u w:val="single"/>
        </w:rPr>
      </w:pPr>
      <w:r w:rsidRPr="00DD75FC">
        <w:rPr>
          <w:rFonts w:ascii="Calibri" w:eastAsia="Symbol" w:hAnsi="Calibri" w:cs="Symbol"/>
          <w:color w:val="000000"/>
          <w:lang w:eastAsia="en-GB"/>
        </w:rPr>
        <w:t xml:space="preserve">any donation (restricted or unrestricted) received of a value </w:t>
      </w:r>
      <w:r w:rsidRPr="00DD75FC">
        <w:rPr>
          <w:rFonts w:ascii="Calibri" w:eastAsia="Symbol" w:hAnsi="Calibri" w:cs="Symbol"/>
          <w:b/>
          <w:color w:val="000000"/>
          <w:lang w:eastAsia="en-GB"/>
        </w:rPr>
        <w:t>more than £50,000</w:t>
      </w:r>
      <w:r w:rsidRPr="00DD75FC">
        <w:rPr>
          <w:rFonts w:ascii="Calibri" w:eastAsia="Symbol" w:hAnsi="Calibri" w:cs="Symbol"/>
          <w:color w:val="000000"/>
          <w:lang w:eastAsia="en-GB"/>
        </w:rPr>
        <w:t xml:space="preserve"> will be accounted for within the specified area, via the </w:t>
      </w:r>
      <w:r w:rsidRPr="00DD75FC">
        <w:rPr>
          <w:rFonts w:ascii="Calibri" w:eastAsia="Symbol" w:hAnsi="Calibri" w:cs="Symbol"/>
          <w:b/>
          <w:color w:val="000000"/>
          <w:lang w:eastAsia="en-GB"/>
        </w:rPr>
        <w:t>Major Gifts</w:t>
      </w:r>
      <w:r w:rsidRPr="00DD75FC">
        <w:rPr>
          <w:rFonts w:ascii="Calibri" w:eastAsia="Symbol" w:hAnsi="Calibri" w:cs="Symbol"/>
          <w:color w:val="000000"/>
          <w:lang w:eastAsia="en-GB"/>
        </w:rPr>
        <w:t xml:space="preserve"> account</w:t>
      </w:r>
    </w:p>
    <w:p w:rsidR="00DD75FC" w:rsidRDefault="00DD75FC" w:rsidP="00A44382">
      <w:pPr>
        <w:spacing w:after="0" w:line="240" w:lineRule="auto"/>
        <w:rPr>
          <w:rFonts w:ascii="Calibri" w:eastAsia="Symbol" w:hAnsi="Calibri" w:cs="Symbol"/>
          <w:color w:val="000000"/>
          <w:lang w:eastAsia="en-GB"/>
        </w:rPr>
      </w:pPr>
    </w:p>
    <w:p w:rsidR="000416CD" w:rsidRPr="000416CD" w:rsidRDefault="00A44382" w:rsidP="000416CD">
      <w:pPr>
        <w:pStyle w:val="ListParagraph"/>
        <w:numPr>
          <w:ilvl w:val="0"/>
          <w:numId w:val="14"/>
        </w:numPr>
        <w:spacing w:after="0" w:line="240" w:lineRule="auto"/>
        <w:rPr>
          <w:b/>
        </w:rPr>
      </w:pPr>
      <w:r w:rsidRPr="000416CD">
        <w:rPr>
          <w:rFonts w:ascii="Calibri" w:eastAsia="Symbol" w:hAnsi="Calibri" w:cs="Symbol"/>
          <w:color w:val="000000"/>
          <w:lang w:eastAsia="en-GB"/>
        </w:rPr>
        <w:t>any donation received of a value less than £50,000 to be classified as a unrestricted donation</w:t>
      </w:r>
    </w:p>
    <w:p w:rsidR="000416CD" w:rsidRPr="000416CD" w:rsidRDefault="000416CD" w:rsidP="000416CD">
      <w:pPr>
        <w:pStyle w:val="ListParagraph"/>
        <w:rPr>
          <w:rFonts w:ascii="Calibri" w:eastAsia="Symbol" w:hAnsi="Calibri" w:cs="Symbol"/>
          <w:color w:val="000000"/>
          <w:lang w:eastAsia="en-GB"/>
        </w:rPr>
      </w:pPr>
    </w:p>
    <w:p w:rsidR="000416CD" w:rsidRPr="000416CD" w:rsidRDefault="000416CD" w:rsidP="000416CD">
      <w:pPr>
        <w:pStyle w:val="ListParagraph"/>
        <w:numPr>
          <w:ilvl w:val="0"/>
          <w:numId w:val="14"/>
        </w:numPr>
        <w:spacing w:after="0" w:line="240" w:lineRule="auto"/>
        <w:rPr>
          <w:b/>
        </w:rPr>
      </w:pPr>
      <w:r>
        <w:rPr>
          <w:rFonts w:ascii="Calibri" w:eastAsia="Symbol" w:hAnsi="Calibri" w:cs="Symbol"/>
          <w:color w:val="000000"/>
          <w:lang w:eastAsia="en-GB"/>
        </w:rPr>
        <w:t xml:space="preserve">if this </w:t>
      </w:r>
      <w:r w:rsidRPr="000416CD">
        <w:rPr>
          <w:rFonts w:ascii="Calibri" w:eastAsia="Symbol" w:hAnsi="Calibri" w:cs="Symbol"/>
          <w:color w:val="000000"/>
          <w:lang w:eastAsia="en-GB"/>
        </w:rPr>
        <w:t xml:space="preserve">donation (&lt;£50k) has </w:t>
      </w:r>
      <w:r w:rsidRPr="000416CD">
        <w:rPr>
          <w:rFonts w:ascii="Calibri" w:eastAsia="Symbol" w:hAnsi="Calibri" w:cs="Symbol"/>
          <w:b/>
          <w:color w:val="000000"/>
          <w:lang w:eastAsia="en-GB"/>
        </w:rPr>
        <w:t>requirements attached</w:t>
      </w:r>
      <w:r w:rsidRPr="000416CD">
        <w:rPr>
          <w:rFonts w:ascii="Calibri" w:eastAsia="Symbol" w:hAnsi="Calibri" w:cs="Symbol"/>
          <w:color w:val="000000"/>
          <w:lang w:eastAsia="en-GB"/>
        </w:rPr>
        <w:t xml:space="preserve"> it will be accounted for within the specified area, via the </w:t>
      </w:r>
      <w:r w:rsidRPr="000416CD">
        <w:rPr>
          <w:rFonts w:ascii="Calibri" w:eastAsia="Symbol" w:hAnsi="Calibri" w:cs="Symbol"/>
          <w:b/>
          <w:color w:val="000000"/>
          <w:lang w:eastAsia="en-GB"/>
        </w:rPr>
        <w:t>Major Gifts</w:t>
      </w:r>
      <w:r w:rsidRPr="000416CD">
        <w:rPr>
          <w:rFonts w:ascii="Calibri" w:eastAsia="Symbol" w:hAnsi="Calibri" w:cs="Symbol"/>
          <w:color w:val="000000"/>
          <w:lang w:eastAsia="en-GB"/>
        </w:rPr>
        <w:t xml:space="preserve"> account; or,</w:t>
      </w:r>
    </w:p>
    <w:p w:rsidR="000416CD" w:rsidRPr="000416CD" w:rsidRDefault="000416CD" w:rsidP="000416CD">
      <w:pPr>
        <w:pStyle w:val="ListParagraph"/>
        <w:rPr>
          <w:rFonts w:ascii="Calibri" w:eastAsia="Symbol" w:hAnsi="Calibri" w:cs="Symbol"/>
          <w:color w:val="000000"/>
          <w:lang w:eastAsia="en-GB"/>
        </w:rPr>
      </w:pPr>
    </w:p>
    <w:p w:rsidR="007F7A63" w:rsidRDefault="000416CD" w:rsidP="0041648A">
      <w:pPr>
        <w:pStyle w:val="ListParagraph"/>
        <w:numPr>
          <w:ilvl w:val="0"/>
          <w:numId w:val="14"/>
        </w:numPr>
        <w:spacing w:after="0" w:line="240" w:lineRule="auto"/>
        <w:rPr>
          <w:b/>
        </w:rPr>
      </w:pPr>
      <w:r>
        <w:rPr>
          <w:rFonts w:ascii="Calibri" w:eastAsia="Symbol" w:hAnsi="Calibri" w:cs="Symbol"/>
          <w:color w:val="000000"/>
          <w:lang w:eastAsia="en-GB"/>
        </w:rPr>
        <w:t xml:space="preserve">if </w:t>
      </w:r>
      <w:r w:rsidRPr="000416CD">
        <w:rPr>
          <w:rFonts w:ascii="Calibri" w:eastAsia="Symbol" w:hAnsi="Calibri" w:cs="Symbol"/>
          <w:color w:val="000000"/>
          <w:lang w:eastAsia="en-GB"/>
        </w:rPr>
        <w:t xml:space="preserve">this donation (&lt;£50k) has </w:t>
      </w:r>
      <w:r w:rsidRPr="000416CD">
        <w:rPr>
          <w:rFonts w:ascii="Calibri" w:eastAsia="Symbol" w:hAnsi="Calibri" w:cs="Symbol"/>
          <w:b/>
          <w:color w:val="000000"/>
          <w:lang w:eastAsia="en-GB"/>
        </w:rPr>
        <w:t>no requirements attached</w:t>
      </w:r>
      <w:r w:rsidRPr="000416CD">
        <w:rPr>
          <w:rFonts w:ascii="Calibri" w:eastAsia="Symbol" w:hAnsi="Calibri" w:cs="Symbol"/>
          <w:color w:val="000000"/>
          <w:lang w:eastAsia="en-GB"/>
        </w:rPr>
        <w:t xml:space="preserve"> it will be added to the </w:t>
      </w:r>
      <w:r w:rsidRPr="000416CD">
        <w:rPr>
          <w:rFonts w:ascii="Calibri" w:eastAsia="Symbol" w:hAnsi="Calibri" w:cs="Symbol"/>
          <w:b/>
          <w:color w:val="000000"/>
          <w:lang w:eastAsia="en-GB"/>
        </w:rPr>
        <w:t>Annual Fund</w:t>
      </w:r>
    </w:p>
    <w:p w:rsidR="000416CD" w:rsidRPr="000416CD" w:rsidRDefault="000416CD" w:rsidP="000416CD">
      <w:pPr>
        <w:spacing w:after="0" w:line="240" w:lineRule="auto"/>
        <w:rPr>
          <w:b/>
        </w:rPr>
      </w:pPr>
    </w:p>
    <w:p w:rsidR="00A90B6F" w:rsidRPr="00A90B6F" w:rsidRDefault="00A90B6F" w:rsidP="0041648A">
      <w:pPr>
        <w:spacing w:after="0" w:line="240" w:lineRule="auto"/>
        <w:rPr>
          <w:b/>
          <w:u w:val="single"/>
        </w:rPr>
      </w:pPr>
      <w:r w:rsidRPr="00A90B6F">
        <w:rPr>
          <w:b/>
          <w:u w:val="single"/>
        </w:rPr>
        <w:t>Endowments</w:t>
      </w:r>
    </w:p>
    <w:p w:rsidR="007F7A63" w:rsidRPr="007F7A63" w:rsidRDefault="007F7A63" w:rsidP="007F7A63">
      <w:pPr>
        <w:pStyle w:val="ListParagraph"/>
        <w:numPr>
          <w:ilvl w:val="0"/>
          <w:numId w:val="11"/>
        </w:numPr>
        <w:spacing w:after="0" w:line="240" w:lineRule="auto"/>
      </w:pPr>
      <w:r w:rsidRPr="007F7A63">
        <w:t xml:space="preserve">to set a de </w:t>
      </w:r>
      <w:proofErr w:type="spellStart"/>
      <w:r w:rsidRPr="007F7A63">
        <w:t>minimis</w:t>
      </w:r>
      <w:proofErr w:type="spellEnd"/>
      <w:r w:rsidRPr="007F7A63">
        <w:t xml:space="preserve"> threshold of </w:t>
      </w:r>
      <w:r w:rsidRPr="00A87F37">
        <w:rPr>
          <w:b/>
        </w:rPr>
        <w:t>£100,000</w:t>
      </w:r>
      <w:r w:rsidRPr="007F7A63">
        <w:t xml:space="preserve"> for setting up a permanent endowment (in line with Oxford University)</w:t>
      </w:r>
    </w:p>
    <w:p w:rsidR="007F7A63" w:rsidRPr="007F7A63" w:rsidRDefault="007F7A63" w:rsidP="007F7A63">
      <w:pPr>
        <w:spacing w:after="0" w:line="240" w:lineRule="auto"/>
      </w:pPr>
    </w:p>
    <w:p w:rsidR="007F7A63" w:rsidRPr="007F7A63" w:rsidRDefault="007F7A63" w:rsidP="007F7A63">
      <w:pPr>
        <w:pStyle w:val="ListParagraph"/>
        <w:numPr>
          <w:ilvl w:val="0"/>
          <w:numId w:val="11"/>
        </w:numPr>
        <w:spacing w:after="0" w:line="240" w:lineRule="auto"/>
      </w:pPr>
      <w:r w:rsidRPr="007F7A63">
        <w:t>it will be permissible for a donor to set up a restricted expendable endowment of a capital value less than £100,000; however,</w:t>
      </w:r>
    </w:p>
    <w:p w:rsidR="007F7A63" w:rsidRPr="007F7A63" w:rsidRDefault="007F7A63" w:rsidP="007F7A63">
      <w:pPr>
        <w:spacing w:after="0" w:line="240" w:lineRule="auto"/>
      </w:pPr>
    </w:p>
    <w:p w:rsidR="00BF64EA" w:rsidRDefault="007F7A63" w:rsidP="00A44382">
      <w:pPr>
        <w:pStyle w:val="ListParagraph"/>
        <w:numPr>
          <w:ilvl w:val="0"/>
          <w:numId w:val="11"/>
        </w:numPr>
        <w:spacing w:after="0" w:line="240" w:lineRule="auto"/>
      </w:pPr>
      <w:r w:rsidRPr="007F7A63">
        <w:t xml:space="preserve">any proposed restricted expendable endowments less than £100,000 must be </w:t>
      </w:r>
      <w:r w:rsidR="00196E1E">
        <w:t>approved</w:t>
      </w:r>
      <w:r w:rsidR="00196E1E" w:rsidRPr="007F7A63">
        <w:t xml:space="preserve"> </w:t>
      </w:r>
      <w:r w:rsidRPr="007F7A63">
        <w:t xml:space="preserve">by </w:t>
      </w:r>
      <w:r w:rsidR="004E3DBB">
        <w:t>F</w:t>
      </w:r>
      <w:r w:rsidR="003B7755">
        <w:t xml:space="preserve">inance </w:t>
      </w:r>
      <w:r w:rsidR="004E3DBB">
        <w:t>S</w:t>
      </w:r>
      <w:r w:rsidR="003B7755">
        <w:t xml:space="preserve">ub </w:t>
      </w:r>
      <w:r w:rsidR="004E3DBB">
        <w:t>C</w:t>
      </w:r>
      <w:r w:rsidR="003B7755">
        <w:t>ommittee</w:t>
      </w:r>
      <w:r w:rsidR="004E3DBB">
        <w:t xml:space="preserve"> </w:t>
      </w:r>
      <w:bookmarkStart w:id="1" w:name="_GoBack"/>
      <w:bookmarkEnd w:id="1"/>
    </w:p>
    <w:p w:rsidR="00974457" w:rsidRDefault="00777723" w:rsidP="00777723">
      <w:pPr>
        <w:spacing w:after="0" w:line="240" w:lineRule="auto"/>
        <w:rPr>
          <w:b/>
          <w:sz w:val="28"/>
          <w:szCs w:val="28"/>
          <w:u w:val="single"/>
        </w:rPr>
      </w:pPr>
      <w:r w:rsidRPr="00974457">
        <w:rPr>
          <w:b/>
          <w:sz w:val="28"/>
          <w:szCs w:val="28"/>
          <w:u w:val="single"/>
        </w:rPr>
        <w:lastRenderedPageBreak/>
        <w:t>Appendix A</w:t>
      </w:r>
    </w:p>
    <w:p w:rsidR="00974457" w:rsidRDefault="00974457" w:rsidP="00777723">
      <w:pPr>
        <w:spacing w:after="0" w:line="240" w:lineRule="auto"/>
        <w:rPr>
          <w:b/>
          <w:sz w:val="28"/>
          <w:szCs w:val="28"/>
          <w:u w:val="single"/>
        </w:rPr>
      </w:pPr>
    </w:p>
    <w:p w:rsidR="00777723" w:rsidRPr="00974457" w:rsidRDefault="00777723" w:rsidP="00777723">
      <w:pPr>
        <w:spacing w:after="0" w:line="240" w:lineRule="auto"/>
        <w:rPr>
          <w:b/>
          <w:sz w:val="28"/>
          <w:szCs w:val="28"/>
          <w:u w:val="single"/>
        </w:rPr>
      </w:pPr>
      <w:r w:rsidRPr="00974457">
        <w:rPr>
          <w:b/>
          <w:sz w:val="28"/>
          <w:szCs w:val="28"/>
          <w:u w:val="single"/>
        </w:rPr>
        <w:t>Restrictions</w:t>
      </w:r>
    </w:p>
    <w:p w:rsidR="00777723" w:rsidRDefault="00777723" w:rsidP="00777723">
      <w:pPr>
        <w:spacing w:after="0" w:line="240" w:lineRule="auto"/>
      </w:pPr>
      <w:r>
        <w:t xml:space="preserve">A </w:t>
      </w:r>
      <w:r>
        <w:rPr>
          <w:b/>
        </w:rPr>
        <w:t>Restriction</w:t>
      </w:r>
      <w:r>
        <w:t xml:space="preserve"> is a type of requirement, which FRS 102 defines as:</w:t>
      </w:r>
    </w:p>
    <w:p w:rsidR="00777723" w:rsidRPr="00100E43" w:rsidRDefault="00777723" w:rsidP="00777723">
      <w:pPr>
        <w:spacing w:after="0" w:line="240" w:lineRule="auto"/>
        <w:rPr>
          <w:i/>
        </w:rPr>
      </w:pPr>
      <w:r>
        <w:rPr>
          <w:i/>
        </w:rPr>
        <w:t>‘</w:t>
      </w:r>
      <w:proofErr w:type="gramStart"/>
      <w:r w:rsidRPr="00100E43">
        <w:rPr>
          <w:i/>
        </w:rPr>
        <w:t>a</w:t>
      </w:r>
      <w:proofErr w:type="gramEnd"/>
      <w:r w:rsidRPr="00100E43">
        <w:rPr>
          <w:i/>
        </w:rPr>
        <w:t xml:space="preserve"> </w:t>
      </w:r>
      <w:r w:rsidRPr="00100E43">
        <w:rPr>
          <w:b/>
          <w:i/>
          <w:color w:val="0070C0"/>
        </w:rPr>
        <w:t>requirement</w:t>
      </w:r>
      <w:r w:rsidRPr="00100E43">
        <w:rPr>
          <w:i/>
        </w:rPr>
        <w:t xml:space="preserve"> that </w:t>
      </w:r>
      <w:r w:rsidRPr="00100E43">
        <w:rPr>
          <w:b/>
          <w:i/>
          <w:color w:val="0070C0"/>
        </w:rPr>
        <w:t>limits</w:t>
      </w:r>
      <w:r w:rsidRPr="00100E43">
        <w:rPr>
          <w:i/>
        </w:rPr>
        <w:t xml:space="preserve"> or </w:t>
      </w:r>
      <w:r w:rsidRPr="00100E43">
        <w:rPr>
          <w:b/>
          <w:i/>
          <w:color w:val="0070C0"/>
        </w:rPr>
        <w:t>directs</w:t>
      </w:r>
      <w:r w:rsidRPr="00100E43">
        <w:rPr>
          <w:i/>
        </w:rPr>
        <w:t xml:space="preserve"> the purposes for which a resource may be used that does not meet the definition of a performance-related condition</w:t>
      </w:r>
      <w:r>
        <w:rPr>
          <w:i/>
        </w:rPr>
        <w:t>’</w:t>
      </w:r>
      <w:r w:rsidRPr="00100E43">
        <w:rPr>
          <w:i/>
        </w:rPr>
        <w:t>.</w:t>
      </w:r>
    </w:p>
    <w:p w:rsidR="00777723" w:rsidRDefault="00777723" w:rsidP="00777723">
      <w:pPr>
        <w:spacing w:after="0" w:line="240" w:lineRule="auto"/>
      </w:pPr>
    </w:p>
    <w:p w:rsidR="00777723" w:rsidRDefault="00777723" w:rsidP="00777723">
      <w:pPr>
        <w:spacing w:after="0" w:line="240" w:lineRule="auto"/>
      </w:pPr>
      <w:r>
        <w:t>When assessing if a gift is restricted or not, it is therefore important to differentiate between a restriction and a donor requirement.</w:t>
      </w:r>
    </w:p>
    <w:p w:rsidR="00777723" w:rsidRDefault="00777723" w:rsidP="00777723">
      <w:pPr>
        <w:spacing w:after="0" w:line="240" w:lineRule="auto"/>
      </w:pPr>
    </w:p>
    <w:p w:rsidR="00777723" w:rsidRPr="002A4156" w:rsidRDefault="00777723" w:rsidP="00777723">
      <w:pPr>
        <w:spacing w:after="0" w:line="240" w:lineRule="auto"/>
        <w:rPr>
          <w:b/>
          <w:u w:val="single"/>
        </w:rPr>
      </w:pPr>
      <w:r w:rsidRPr="002A4156">
        <w:rPr>
          <w:b/>
          <w:u w:val="single"/>
        </w:rPr>
        <w:t>Requirements</w:t>
      </w:r>
    </w:p>
    <w:p w:rsidR="00777723" w:rsidRDefault="00777723" w:rsidP="00777723">
      <w:pPr>
        <w:spacing w:after="0" w:line="240" w:lineRule="auto"/>
      </w:pPr>
      <w:r>
        <w:t xml:space="preserve">The dictionary definition of ‘requirement’ is, ‘a thing that is needed or wanted’.  A donor requirement is </w:t>
      </w:r>
      <w:r w:rsidRPr="00392B66">
        <w:rPr>
          <w:b/>
        </w:rPr>
        <w:t>not</w:t>
      </w:r>
      <w:r>
        <w:t xml:space="preserve"> deemed to be a restriction if it aligns with the University’s own chosen purpose and strategy.  This is because the donor is aiding as opposed to directing.    </w:t>
      </w:r>
    </w:p>
    <w:p w:rsidR="00777723" w:rsidRDefault="00777723" w:rsidP="00777723">
      <w:pPr>
        <w:spacing w:after="0" w:line="240" w:lineRule="auto"/>
      </w:pPr>
    </w:p>
    <w:p w:rsidR="00777723" w:rsidRDefault="00777723" w:rsidP="00777723">
      <w:pPr>
        <w:spacing w:after="0" w:line="240" w:lineRule="auto"/>
      </w:pPr>
      <w:r>
        <w:t xml:space="preserve">Donor </w:t>
      </w:r>
      <w:r w:rsidRPr="00CB0F2E">
        <w:rPr>
          <w:b/>
        </w:rPr>
        <w:t>requirements</w:t>
      </w:r>
      <w:r>
        <w:t xml:space="preserve"> could typically include:</w:t>
      </w:r>
    </w:p>
    <w:p w:rsidR="00777723" w:rsidRDefault="00777723" w:rsidP="00777723">
      <w:pPr>
        <w:spacing w:after="0" w:line="240" w:lineRule="auto"/>
      </w:pPr>
    </w:p>
    <w:p w:rsidR="00777723" w:rsidRPr="00267470" w:rsidRDefault="00777723" w:rsidP="00777723">
      <w:pPr>
        <w:pStyle w:val="ListParagraph"/>
        <w:numPr>
          <w:ilvl w:val="0"/>
          <w:numId w:val="12"/>
        </w:numPr>
        <w:spacing w:after="0" w:line="240" w:lineRule="auto"/>
        <w:rPr>
          <w:i/>
        </w:rPr>
      </w:pPr>
      <w:r>
        <w:t xml:space="preserve">a gift to be given to a broad organisational area, such as a Faculty, School, Institute or department </w:t>
      </w:r>
    </w:p>
    <w:p w:rsidR="00777723" w:rsidRPr="00267470" w:rsidRDefault="00777723" w:rsidP="00777723">
      <w:pPr>
        <w:pStyle w:val="ListParagraph"/>
        <w:numPr>
          <w:ilvl w:val="0"/>
          <w:numId w:val="12"/>
        </w:numPr>
        <w:spacing w:after="0" w:line="240" w:lineRule="auto"/>
        <w:rPr>
          <w:i/>
        </w:rPr>
      </w:pPr>
      <w:r>
        <w:t>a gift to fund a broad * area of research</w:t>
      </w:r>
    </w:p>
    <w:p w:rsidR="00777723" w:rsidRPr="00E92C58" w:rsidRDefault="00777723" w:rsidP="00777723">
      <w:pPr>
        <w:pStyle w:val="ListParagraph"/>
        <w:numPr>
          <w:ilvl w:val="0"/>
          <w:numId w:val="12"/>
        </w:numPr>
        <w:spacing w:after="0" w:line="240" w:lineRule="auto"/>
        <w:rPr>
          <w:i/>
        </w:rPr>
      </w:pPr>
      <w:r w:rsidRPr="00D850E4">
        <w:t>a gift to fund an academic teaching post</w:t>
      </w:r>
      <w:r>
        <w:t xml:space="preserve"> -</w:t>
      </w:r>
      <w:r w:rsidRPr="00D850E4">
        <w:t xml:space="preserve"> </w:t>
      </w:r>
      <w:r>
        <w:t xml:space="preserve">that aligns with University strategy </w:t>
      </w:r>
    </w:p>
    <w:p w:rsidR="00777723" w:rsidRPr="009433F5" w:rsidRDefault="00777723" w:rsidP="00777723">
      <w:pPr>
        <w:pStyle w:val="ListParagraph"/>
        <w:numPr>
          <w:ilvl w:val="0"/>
          <w:numId w:val="12"/>
        </w:numPr>
        <w:spacing w:after="0" w:line="240" w:lineRule="auto"/>
        <w:rPr>
          <w:u w:val="single"/>
        </w:rPr>
      </w:pPr>
      <w:r>
        <w:t>a gift to fund the scholarship of a student - that aligns with University strategy</w:t>
      </w:r>
    </w:p>
    <w:p w:rsidR="00777723" w:rsidRDefault="00777723" w:rsidP="00777723">
      <w:pPr>
        <w:spacing w:after="0" w:line="240" w:lineRule="auto"/>
        <w:rPr>
          <w:u w:val="single"/>
        </w:rPr>
      </w:pPr>
    </w:p>
    <w:p w:rsidR="00777723" w:rsidRDefault="00777723" w:rsidP="00777723">
      <w:pPr>
        <w:spacing w:after="0" w:line="240" w:lineRule="auto"/>
      </w:pPr>
    </w:p>
    <w:p w:rsidR="00777723" w:rsidRPr="002A4156" w:rsidRDefault="00777723" w:rsidP="00777723">
      <w:pPr>
        <w:spacing w:after="0" w:line="240" w:lineRule="auto"/>
        <w:rPr>
          <w:b/>
          <w:u w:val="single"/>
        </w:rPr>
      </w:pPr>
      <w:r w:rsidRPr="002A4156">
        <w:rPr>
          <w:b/>
          <w:u w:val="single"/>
        </w:rPr>
        <w:t>Restrictions</w:t>
      </w:r>
    </w:p>
    <w:p w:rsidR="00777723" w:rsidRDefault="00777723" w:rsidP="00777723">
      <w:pPr>
        <w:spacing w:after="0" w:line="240" w:lineRule="auto"/>
      </w:pPr>
      <w:r>
        <w:t xml:space="preserve">A donor requirement only becomes a ‘restriction’ if it is so specific that it significantly limits the University’s ability to spend the money received and/or it does </w:t>
      </w:r>
      <w:r>
        <w:rPr>
          <w:b/>
        </w:rPr>
        <w:t>not</w:t>
      </w:r>
      <w:r>
        <w:t xml:space="preserve"> align with the University’s own chosen purpose and strategy.</w:t>
      </w:r>
      <w:r w:rsidR="00BE06FF">
        <w:rPr>
          <w:rStyle w:val="FootnoteReference"/>
        </w:rPr>
        <w:footnoteReference w:id="1"/>
      </w:r>
      <w:r>
        <w:t xml:space="preserve">  Also, a requirement would become a restriction if the gift was to fund an activity that the University would not normally do.</w:t>
      </w:r>
    </w:p>
    <w:p w:rsidR="00777723" w:rsidRDefault="00777723" w:rsidP="00777723">
      <w:pPr>
        <w:spacing w:after="0" w:line="240" w:lineRule="auto"/>
      </w:pPr>
    </w:p>
    <w:p w:rsidR="00777723" w:rsidRDefault="00777723" w:rsidP="00777723">
      <w:pPr>
        <w:spacing w:after="0" w:line="240" w:lineRule="auto"/>
      </w:pPr>
      <w:r>
        <w:t xml:space="preserve">Donor </w:t>
      </w:r>
      <w:r w:rsidRPr="00CB0F2E">
        <w:rPr>
          <w:b/>
        </w:rPr>
        <w:t>restrictions</w:t>
      </w:r>
      <w:r>
        <w:t xml:space="preserve"> could typically include:</w:t>
      </w:r>
    </w:p>
    <w:p w:rsidR="00777723" w:rsidRDefault="00777723" w:rsidP="00777723">
      <w:pPr>
        <w:spacing w:after="0" w:line="240" w:lineRule="auto"/>
      </w:pPr>
    </w:p>
    <w:p w:rsidR="00777723" w:rsidRDefault="00777723" w:rsidP="00777723">
      <w:pPr>
        <w:pStyle w:val="ListParagraph"/>
        <w:numPr>
          <w:ilvl w:val="0"/>
          <w:numId w:val="13"/>
        </w:numPr>
        <w:spacing w:after="0" w:line="240" w:lineRule="auto"/>
      </w:pPr>
      <w:r>
        <w:t xml:space="preserve">a gift to fund a defined * area of research </w:t>
      </w:r>
    </w:p>
    <w:p w:rsidR="00777723" w:rsidRPr="00E92C58" w:rsidRDefault="00777723" w:rsidP="00777723">
      <w:pPr>
        <w:pStyle w:val="ListParagraph"/>
        <w:numPr>
          <w:ilvl w:val="0"/>
          <w:numId w:val="13"/>
        </w:numPr>
        <w:spacing w:after="0" w:line="240" w:lineRule="auto"/>
        <w:rPr>
          <w:i/>
        </w:rPr>
      </w:pPr>
      <w:r w:rsidRPr="00D850E4">
        <w:t>a gift to fund an academic teaching post</w:t>
      </w:r>
      <w:r>
        <w:t xml:space="preserve"> -</w:t>
      </w:r>
      <w:r w:rsidRPr="00D850E4">
        <w:t xml:space="preserve"> </w:t>
      </w:r>
      <w:r>
        <w:t xml:space="preserve">that does </w:t>
      </w:r>
      <w:r w:rsidRPr="00003782">
        <w:rPr>
          <w:b/>
        </w:rPr>
        <w:t>not</w:t>
      </w:r>
      <w:r>
        <w:t xml:space="preserve"> align with University strategy, and/or it is unlikely the requirement can be satisfied</w:t>
      </w:r>
    </w:p>
    <w:p w:rsidR="00777723" w:rsidRPr="00003782" w:rsidRDefault="00777723" w:rsidP="00777723">
      <w:pPr>
        <w:pStyle w:val="ListParagraph"/>
        <w:numPr>
          <w:ilvl w:val="0"/>
          <w:numId w:val="13"/>
        </w:numPr>
        <w:spacing w:after="0" w:line="240" w:lineRule="auto"/>
        <w:rPr>
          <w:i/>
        </w:rPr>
      </w:pPr>
      <w:r>
        <w:t xml:space="preserve">a gift to fund the scholarship of a student - that does </w:t>
      </w:r>
      <w:r w:rsidRPr="00003782">
        <w:rPr>
          <w:b/>
        </w:rPr>
        <w:t>not</w:t>
      </w:r>
      <w:r>
        <w:t xml:space="preserve"> align with University strategy, and/or it is unlikely the requirement can be satisfied</w:t>
      </w:r>
    </w:p>
    <w:p w:rsidR="00777723" w:rsidRDefault="00777723" w:rsidP="00777723">
      <w:pPr>
        <w:pStyle w:val="ListParagraph"/>
        <w:spacing w:after="0" w:line="240" w:lineRule="auto"/>
        <w:ind w:left="765"/>
      </w:pPr>
    </w:p>
    <w:tbl>
      <w:tblPr>
        <w:tblW w:w="9660" w:type="dxa"/>
        <w:tblInd w:w="93" w:type="dxa"/>
        <w:tblLook w:val="04A0" w:firstRow="1" w:lastRow="0" w:firstColumn="1" w:lastColumn="0" w:noHBand="0" w:noVBand="1"/>
      </w:tblPr>
      <w:tblGrid>
        <w:gridCol w:w="1960"/>
        <w:gridCol w:w="7700"/>
      </w:tblGrid>
      <w:tr w:rsidR="00777723" w:rsidRPr="002A4156" w:rsidTr="009A3DFC">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b/>
                <w:bCs/>
                <w:color w:val="000000"/>
                <w:lang w:eastAsia="en-GB"/>
              </w:rPr>
            </w:pPr>
            <w:r w:rsidRPr="002A4156">
              <w:rPr>
                <w:rFonts w:ascii="Calibri" w:eastAsia="Times New Roman" w:hAnsi="Calibri" w:cs="Times New Roman"/>
                <w:b/>
                <w:bCs/>
                <w:color w:val="000000"/>
                <w:lang w:eastAsia="en-GB"/>
              </w:rPr>
              <w:t xml:space="preserve">Area </w:t>
            </w:r>
          </w:p>
        </w:tc>
        <w:tc>
          <w:tcPr>
            <w:tcW w:w="7700" w:type="dxa"/>
            <w:tcBorders>
              <w:top w:val="single" w:sz="8" w:space="0" w:color="auto"/>
              <w:left w:val="nil"/>
              <w:bottom w:val="single" w:sz="4" w:space="0" w:color="auto"/>
              <w:right w:val="single" w:sz="8"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b/>
                <w:bCs/>
                <w:color w:val="000000"/>
                <w:lang w:eastAsia="en-GB"/>
              </w:rPr>
            </w:pPr>
            <w:r w:rsidRPr="002A4156">
              <w:rPr>
                <w:rFonts w:ascii="Calibri" w:eastAsia="Times New Roman" w:hAnsi="Calibri" w:cs="Times New Roman"/>
                <w:b/>
                <w:bCs/>
                <w:color w:val="000000"/>
                <w:lang w:eastAsia="en-GB"/>
              </w:rPr>
              <w:t>Definition</w:t>
            </w:r>
          </w:p>
        </w:tc>
      </w:tr>
      <w:tr w:rsidR="00777723" w:rsidRPr="002A4156" w:rsidTr="007B533B">
        <w:trPr>
          <w:trHeight w:val="541"/>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b/>
                <w:bCs/>
                <w:color w:val="000000"/>
                <w:lang w:eastAsia="en-GB"/>
              </w:rPr>
            </w:pPr>
            <w:r w:rsidRPr="002A4156">
              <w:rPr>
                <w:rFonts w:ascii="Calibri" w:eastAsia="Times New Roman" w:hAnsi="Calibri" w:cs="Times New Roman"/>
                <w:b/>
                <w:bCs/>
                <w:color w:val="000000"/>
                <w:lang w:eastAsia="en-GB"/>
              </w:rPr>
              <w:t xml:space="preserve">Broad </w:t>
            </w:r>
          </w:p>
        </w:tc>
        <w:tc>
          <w:tcPr>
            <w:tcW w:w="7700" w:type="dxa"/>
            <w:tcBorders>
              <w:top w:val="nil"/>
              <w:left w:val="nil"/>
              <w:bottom w:val="single" w:sz="4" w:space="0" w:color="auto"/>
              <w:right w:val="single" w:sz="8"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color w:val="000000"/>
                <w:lang w:eastAsia="en-GB"/>
              </w:rPr>
            </w:pPr>
            <w:r w:rsidRPr="002A4156">
              <w:rPr>
                <w:rFonts w:ascii="Calibri" w:eastAsia="Times New Roman" w:hAnsi="Calibri" w:cs="Times New Roman"/>
                <w:color w:val="000000"/>
                <w:lang w:eastAsia="en-GB"/>
              </w:rPr>
              <w:t>An area of research is deemed to be ‘broad’ if it does not meet the definition of ‘defined’.</w:t>
            </w:r>
          </w:p>
        </w:tc>
      </w:tr>
      <w:tr w:rsidR="00777723" w:rsidRPr="002A4156" w:rsidTr="007B533B">
        <w:trPr>
          <w:trHeight w:val="1215"/>
        </w:trPr>
        <w:tc>
          <w:tcPr>
            <w:tcW w:w="1960" w:type="dxa"/>
            <w:tcBorders>
              <w:top w:val="nil"/>
              <w:left w:val="single" w:sz="8" w:space="0" w:color="auto"/>
              <w:bottom w:val="single" w:sz="8" w:space="0" w:color="auto"/>
              <w:right w:val="single" w:sz="4"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b/>
                <w:bCs/>
                <w:color w:val="000000"/>
                <w:lang w:eastAsia="en-GB"/>
              </w:rPr>
            </w:pPr>
            <w:r w:rsidRPr="002A4156">
              <w:rPr>
                <w:rFonts w:ascii="Calibri" w:eastAsia="Times New Roman" w:hAnsi="Calibri" w:cs="Times New Roman"/>
                <w:b/>
                <w:bCs/>
                <w:color w:val="000000"/>
                <w:lang w:eastAsia="en-GB"/>
              </w:rPr>
              <w:t>Defined</w:t>
            </w:r>
          </w:p>
        </w:tc>
        <w:tc>
          <w:tcPr>
            <w:tcW w:w="7700" w:type="dxa"/>
            <w:tcBorders>
              <w:top w:val="nil"/>
              <w:left w:val="nil"/>
              <w:bottom w:val="single" w:sz="8" w:space="0" w:color="auto"/>
              <w:right w:val="single" w:sz="8" w:space="0" w:color="auto"/>
            </w:tcBorders>
            <w:shd w:val="clear" w:color="auto" w:fill="auto"/>
            <w:vAlign w:val="center"/>
            <w:hideMark/>
          </w:tcPr>
          <w:p w:rsidR="00777723" w:rsidRPr="002A4156" w:rsidRDefault="00777723" w:rsidP="009A3DFC">
            <w:pPr>
              <w:spacing w:after="0" w:line="240" w:lineRule="auto"/>
              <w:jc w:val="center"/>
              <w:rPr>
                <w:rFonts w:ascii="Calibri" w:eastAsia="Times New Roman" w:hAnsi="Calibri" w:cs="Times New Roman"/>
                <w:color w:val="000000"/>
                <w:lang w:eastAsia="en-GB"/>
              </w:rPr>
            </w:pPr>
            <w:r w:rsidRPr="002A4156">
              <w:rPr>
                <w:rFonts w:ascii="Calibri" w:eastAsia="Times New Roman" w:hAnsi="Calibri" w:cs="Times New Roman"/>
                <w:color w:val="000000"/>
                <w:lang w:eastAsia="en-GB"/>
              </w:rPr>
              <w:t>The dictionary definition of ‘defined’ is to ‘state or describe exactly the nature, scope, or meaning of’.  Therefore a ‘defined’ area of research is deemed to be limited to a detailed research question that the donor requires the University to research, which does not fall into any department’s existing key research themes.</w:t>
            </w:r>
          </w:p>
        </w:tc>
      </w:tr>
    </w:tbl>
    <w:p w:rsidR="00777723" w:rsidRDefault="00777723" w:rsidP="00777723">
      <w:pPr>
        <w:spacing w:after="0" w:line="240" w:lineRule="auto"/>
        <w:rPr>
          <w:b/>
          <w:sz w:val="28"/>
          <w:szCs w:val="28"/>
          <w:u w:val="single"/>
        </w:rPr>
      </w:pPr>
    </w:p>
    <w:p w:rsidR="00DA569E" w:rsidRDefault="00DA569E" w:rsidP="00777723">
      <w:pPr>
        <w:spacing w:after="0" w:line="240" w:lineRule="auto"/>
        <w:rPr>
          <w:b/>
          <w:u w:val="single"/>
        </w:rPr>
      </w:pPr>
    </w:p>
    <w:p w:rsidR="00DA569E" w:rsidRDefault="00DA569E" w:rsidP="00777723">
      <w:pPr>
        <w:spacing w:after="0" w:line="240" w:lineRule="auto"/>
        <w:rPr>
          <w:b/>
          <w:u w:val="single"/>
        </w:rPr>
      </w:pPr>
    </w:p>
    <w:p w:rsidR="009B633D" w:rsidRDefault="009B633D" w:rsidP="00777723">
      <w:pPr>
        <w:spacing w:after="0" w:line="240" w:lineRule="auto"/>
        <w:rPr>
          <w:b/>
          <w:u w:val="single"/>
        </w:rPr>
      </w:pPr>
      <w:r w:rsidRPr="00A87F37">
        <w:rPr>
          <w:b/>
          <w:u w:val="single"/>
        </w:rPr>
        <w:t>Restrictions in the context of endowments</w:t>
      </w:r>
    </w:p>
    <w:p w:rsidR="00DA569E" w:rsidRPr="00A87F37" w:rsidRDefault="00FB465D" w:rsidP="00777723">
      <w:pPr>
        <w:spacing w:after="0" w:line="240" w:lineRule="auto"/>
      </w:pPr>
      <w:r w:rsidRPr="00A87F37">
        <w:t>The</w:t>
      </w:r>
      <w:r w:rsidR="00DA569E" w:rsidRPr="00DA569E">
        <w:t xml:space="preserve"> </w:t>
      </w:r>
      <w:r w:rsidRPr="00A87F37">
        <w:t>definition of ‘restrictions’</w:t>
      </w:r>
      <w:r w:rsidR="00DA569E">
        <w:t xml:space="preserve">, used above in the context of donations, </w:t>
      </w:r>
      <w:r w:rsidRPr="00A87F37">
        <w:t>cannot be applied to endowments.  This is because, in creating an endowment, the donor places a legally-binding obligation on the University to set up a charitable trust.  This means that any requirement(s) specified by the donor are lega</w:t>
      </w:r>
      <w:r w:rsidR="00DA569E" w:rsidRPr="00A87F37">
        <w:t xml:space="preserve">lly-binding, and therefore under trust law are </w:t>
      </w:r>
      <w:r w:rsidR="003E2787" w:rsidRPr="003E2787">
        <w:t>deemed to be a restriction</w:t>
      </w:r>
      <w:r w:rsidR="003E2787">
        <w:t xml:space="preserve">(s), </w:t>
      </w:r>
      <w:r w:rsidR="003E2787" w:rsidRPr="00A87F37">
        <w:rPr>
          <w:b/>
        </w:rPr>
        <w:t>unless</w:t>
      </w:r>
      <w:r w:rsidR="003E2787">
        <w:t xml:space="preserve"> the donor categorically states otherwise.</w:t>
      </w:r>
    </w:p>
    <w:p w:rsidR="00DA569E" w:rsidRDefault="00DA569E" w:rsidP="00777723">
      <w:pPr>
        <w:spacing w:after="0" w:line="240" w:lineRule="auto"/>
        <w:rPr>
          <w:u w:val="single"/>
        </w:rPr>
      </w:pPr>
    </w:p>
    <w:p w:rsidR="00FB465D" w:rsidRPr="00A87F37" w:rsidRDefault="00DA569E" w:rsidP="00777723">
      <w:pPr>
        <w:spacing w:after="0" w:line="240" w:lineRule="auto"/>
        <w:rPr>
          <w:b/>
          <w:sz w:val="28"/>
          <w:szCs w:val="28"/>
        </w:rPr>
      </w:pPr>
      <w:r w:rsidRPr="00A87F37">
        <w:rPr>
          <w:b/>
        </w:rPr>
        <w:t xml:space="preserve">Permanent Endowments </w:t>
      </w:r>
      <w:r w:rsidR="00FB465D" w:rsidRPr="00A87F37">
        <w:rPr>
          <w:b/>
          <w:sz w:val="28"/>
          <w:szCs w:val="28"/>
        </w:rPr>
        <w:t xml:space="preserve"> </w:t>
      </w:r>
    </w:p>
    <w:p w:rsidR="00DA569E" w:rsidRDefault="00DA569E" w:rsidP="00A87F37">
      <w:pPr>
        <w:pStyle w:val="ListParagraph"/>
        <w:numPr>
          <w:ilvl w:val="0"/>
          <w:numId w:val="15"/>
        </w:numPr>
        <w:spacing w:after="0" w:line="240" w:lineRule="auto"/>
      </w:pPr>
      <w:r>
        <w:t>If a donor wishes to create an endowment, and there is a require</w:t>
      </w:r>
      <w:r w:rsidR="00E31D19">
        <w:t>ment</w:t>
      </w:r>
      <w:r>
        <w:t xml:space="preserve"> to invest the capital permanently, this will be classified as ‘restricted permanent’</w:t>
      </w:r>
      <w:r w:rsidR="00E31D19">
        <w:t>.</w:t>
      </w:r>
      <w:r>
        <w:t xml:space="preserve"> </w:t>
      </w:r>
    </w:p>
    <w:p w:rsidR="00DA569E" w:rsidRDefault="00DA569E" w:rsidP="00A87F37">
      <w:pPr>
        <w:pStyle w:val="ListParagraph"/>
        <w:spacing w:after="0" w:line="240" w:lineRule="auto"/>
      </w:pPr>
    </w:p>
    <w:p w:rsidR="00DA569E" w:rsidRPr="00A87F37" w:rsidRDefault="00A87F37" w:rsidP="00A87F37">
      <w:pPr>
        <w:pStyle w:val="ListParagraph"/>
        <w:numPr>
          <w:ilvl w:val="0"/>
          <w:numId w:val="15"/>
        </w:numPr>
        <w:spacing w:after="0" w:line="240" w:lineRule="auto"/>
      </w:pPr>
      <w:r>
        <w:t xml:space="preserve">However if </w:t>
      </w:r>
      <w:r w:rsidR="00DA569E">
        <w:t xml:space="preserve">the donor </w:t>
      </w:r>
      <w:r w:rsidR="00E31D19">
        <w:t>categorically states</w:t>
      </w:r>
      <w:r w:rsidR="00DA569E">
        <w:t xml:space="preserve"> that the income can be applied for general university purposes or for the general purpose of a faculty, school, or Institute</w:t>
      </w:r>
      <w:r>
        <w:t xml:space="preserve">, </w:t>
      </w:r>
      <w:r w:rsidR="00DA569E">
        <w:t>the endowmen</w:t>
      </w:r>
      <w:r w:rsidR="003E2787">
        <w:t>t will</w:t>
      </w:r>
      <w:r w:rsidR="00DA569E">
        <w:t xml:space="preserve"> be classified as ‘</w:t>
      </w:r>
      <w:r w:rsidR="00E31D19">
        <w:t>unrestricted perman</w:t>
      </w:r>
      <w:r w:rsidR="00DA569E">
        <w:t>ent’</w:t>
      </w:r>
      <w:r w:rsidR="003E2787">
        <w:t>.</w:t>
      </w:r>
    </w:p>
    <w:p w:rsidR="00DA569E" w:rsidRDefault="00DA569E" w:rsidP="00777723">
      <w:pPr>
        <w:spacing w:after="0" w:line="240" w:lineRule="auto"/>
        <w:rPr>
          <w:u w:val="single"/>
        </w:rPr>
      </w:pPr>
    </w:p>
    <w:p w:rsidR="00DA569E" w:rsidRPr="00A87F37" w:rsidRDefault="00DA569E" w:rsidP="00777723">
      <w:pPr>
        <w:spacing w:after="0" w:line="240" w:lineRule="auto"/>
        <w:rPr>
          <w:b/>
        </w:rPr>
      </w:pPr>
      <w:r w:rsidRPr="00A87F37">
        <w:rPr>
          <w:b/>
        </w:rPr>
        <w:t>Expendable Endowments</w:t>
      </w:r>
    </w:p>
    <w:p w:rsidR="00DA569E" w:rsidRDefault="00DA569E" w:rsidP="00DA569E">
      <w:pPr>
        <w:pStyle w:val="ListParagraph"/>
        <w:numPr>
          <w:ilvl w:val="0"/>
          <w:numId w:val="15"/>
        </w:numPr>
        <w:spacing w:after="0" w:line="240" w:lineRule="auto"/>
      </w:pPr>
      <w:r>
        <w:t xml:space="preserve">If a donor wishes to create an endowment, and there is </w:t>
      </w:r>
      <w:r w:rsidRPr="003E2787">
        <w:t>no</w:t>
      </w:r>
      <w:r>
        <w:t xml:space="preserve"> requirement to invest the capital permanently, this will be classified as ‘restricted expendable’.</w:t>
      </w:r>
      <w:r w:rsidR="00E31D19">
        <w:t xml:space="preserve">  </w:t>
      </w:r>
    </w:p>
    <w:p w:rsidR="00DA569E" w:rsidRPr="00A87F37" w:rsidRDefault="00DA569E" w:rsidP="00777723">
      <w:pPr>
        <w:spacing w:after="0" w:line="240" w:lineRule="auto"/>
        <w:rPr>
          <w:sz w:val="28"/>
          <w:szCs w:val="28"/>
          <w:u w:val="single"/>
        </w:rPr>
      </w:pPr>
    </w:p>
    <w:p w:rsidR="00DA569E" w:rsidRDefault="00DA569E" w:rsidP="00777723">
      <w:pPr>
        <w:spacing w:after="0" w:line="240" w:lineRule="auto"/>
        <w:rPr>
          <w:b/>
          <w:sz w:val="28"/>
          <w:szCs w:val="28"/>
          <w:u w:val="single"/>
        </w:rPr>
      </w:pPr>
    </w:p>
    <w:p w:rsidR="00777723" w:rsidRPr="0080099E" w:rsidRDefault="00777723" w:rsidP="00777723">
      <w:pPr>
        <w:spacing w:after="0" w:line="240" w:lineRule="auto"/>
        <w:rPr>
          <w:b/>
          <w:sz w:val="28"/>
          <w:szCs w:val="28"/>
          <w:u w:val="single"/>
        </w:rPr>
      </w:pPr>
      <w:r w:rsidRPr="0080099E">
        <w:rPr>
          <w:b/>
          <w:sz w:val="28"/>
          <w:szCs w:val="28"/>
          <w:u w:val="single"/>
        </w:rPr>
        <w:t>Performance-Related Conditions</w:t>
      </w:r>
    </w:p>
    <w:p w:rsidR="00777723" w:rsidRDefault="00777723" w:rsidP="00777723">
      <w:pPr>
        <w:spacing w:after="0" w:line="240" w:lineRule="auto"/>
      </w:pPr>
      <w:r>
        <w:t xml:space="preserve">FRS 102 defines a </w:t>
      </w:r>
      <w:r>
        <w:rPr>
          <w:b/>
        </w:rPr>
        <w:t>Performance-Related Condition</w:t>
      </w:r>
      <w:r>
        <w:t xml:space="preserve"> as:</w:t>
      </w:r>
    </w:p>
    <w:p w:rsidR="00777723" w:rsidRPr="000C57B4" w:rsidRDefault="00777723" w:rsidP="00777723">
      <w:pPr>
        <w:spacing w:after="0" w:line="240" w:lineRule="auto"/>
        <w:rPr>
          <w:i/>
        </w:rPr>
      </w:pPr>
      <w:r>
        <w:rPr>
          <w:i/>
        </w:rPr>
        <w:t xml:space="preserve">‘a condition that requires the performance of a particular level of service or units of output to be delivered, </w:t>
      </w:r>
      <w:r w:rsidRPr="00974457">
        <w:rPr>
          <w:b/>
          <w:i/>
          <w:color w:val="0070C0"/>
        </w:rPr>
        <w:t>with payment of, or entitlement to, the resources conditional on that performance</w:t>
      </w:r>
      <w:r w:rsidRPr="007B533B">
        <w:rPr>
          <w:b/>
          <w:i/>
        </w:rPr>
        <w:t>’</w:t>
      </w:r>
      <w:r>
        <w:rPr>
          <w:i/>
        </w:rPr>
        <w:t>.</w:t>
      </w:r>
    </w:p>
    <w:p w:rsidR="00777723" w:rsidRDefault="00777723" w:rsidP="00777723">
      <w:pPr>
        <w:spacing w:after="0" w:line="240" w:lineRule="auto"/>
      </w:pPr>
    </w:p>
    <w:p w:rsidR="00777723" w:rsidRDefault="00777723" w:rsidP="00777723">
      <w:pPr>
        <w:spacing w:after="0" w:line="240" w:lineRule="auto"/>
      </w:pPr>
      <w:r>
        <w:t>The SORP states that, ‘</w:t>
      </w:r>
      <w:r>
        <w:rPr>
          <w:i/>
        </w:rPr>
        <w:t>it is expected that donations with performance-related conditions will be rare’.</w:t>
      </w:r>
    </w:p>
    <w:p w:rsidR="00777723" w:rsidRDefault="00777723" w:rsidP="00777723">
      <w:pPr>
        <w:spacing w:after="0" w:line="240" w:lineRule="auto"/>
      </w:pPr>
    </w:p>
    <w:p w:rsidR="00777723" w:rsidRDefault="00777723" w:rsidP="00777723">
      <w:pPr>
        <w:spacing w:after="0" w:line="240" w:lineRule="auto"/>
      </w:pPr>
      <w:r>
        <w:t xml:space="preserve">This is true, due to the fact that the University would not recognise a donation in the accounts until the cash had physically been received. </w:t>
      </w:r>
      <w:r>
        <w:rPr>
          <w:rStyle w:val="FootnoteReference"/>
        </w:rPr>
        <w:footnoteReference w:id="2"/>
      </w:r>
      <w:r>
        <w:t xml:space="preserve">  This is because a donor is not under any obligation to give a donation, and therefore the University does not have any entitlement to the income until the cash is received.  </w:t>
      </w:r>
    </w:p>
    <w:p w:rsidR="00777723" w:rsidRDefault="00777723" w:rsidP="00777723">
      <w:pPr>
        <w:spacing w:after="0" w:line="240" w:lineRule="auto"/>
      </w:pPr>
    </w:p>
    <w:p w:rsidR="00777723" w:rsidRDefault="00777723" w:rsidP="00777723">
      <w:pPr>
        <w:spacing w:after="0" w:line="240" w:lineRule="auto"/>
      </w:pPr>
      <w:r>
        <w:t xml:space="preserve">At the point of receipt, it is deemed that the University is entitled to the income, and therefore the income should be recognised.  The donor may attach conditions to the gift, but, unless it was probable that the donor would ask for the gift to be returned if these conditions were not met, these are only conditions, rather than performance-related conditions.  This is because a condition only becomes performance-related, if the payment of, or entitlement to the gift is conditional on performance.  As it states in the SORP, </w:t>
      </w:r>
      <w:r>
        <w:rPr>
          <w:i/>
        </w:rPr>
        <w:t>‘s</w:t>
      </w:r>
      <w:r w:rsidRPr="000C57B4">
        <w:rPr>
          <w:i/>
        </w:rPr>
        <w:t>ome conditions (including procedural type conditions) are not performance-related and would be ignored for the purposes of determining when recognition occurs</w:t>
      </w:r>
      <w:r>
        <w:rPr>
          <w:i/>
        </w:rPr>
        <w:t>’</w:t>
      </w:r>
      <w:r>
        <w:t xml:space="preserve"> (17.14c).  </w:t>
      </w:r>
    </w:p>
    <w:p w:rsidR="00777723" w:rsidRDefault="00777723" w:rsidP="00777723">
      <w:pPr>
        <w:spacing w:after="0" w:line="240" w:lineRule="auto"/>
      </w:pPr>
    </w:p>
    <w:p w:rsidR="00777723" w:rsidRDefault="00A00545" w:rsidP="00777723">
      <w:pPr>
        <w:spacing w:after="0" w:line="240" w:lineRule="auto"/>
      </w:pPr>
      <w:r>
        <w:t>The</w:t>
      </w:r>
      <w:r w:rsidR="00777723">
        <w:t xml:space="preserve"> </w:t>
      </w:r>
      <w:r w:rsidR="00777723" w:rsidRPr="00664606">
        <w:rPr>
          <w:b/>
        </w:rPr>
        <w:t>exception</w:t>
      </w:r>
      <w:r w:rsidR="00777723">
        <w:t xml:space="preserve"> to this would be if the donor attached a time condition to the gift, </w:t>
      </w:r>
      <w:r>
        <w:t>regarding when the gift can be spent, as in the following example:</w:t>
      </w:r>
    </w:p>
    <w:p w:rsidR="00777723" w:rsidRDefault="00777723" w:rsidP="00777723">
      <w:pPr>
        <w:spacing w:after="0" w:line="240" w:lineRule="auto"/>
      </w:pPr>
    </w:p>
    <w:p w:rsidR="00777723" w:rsidRPr="00B04917" w:rsidRDefault="00A00545" w:rsidP="00777723">
      <w:pPr>
        <w:spacing w:after="0" w:line="240" w:lineRule="auto"/>
        <w:rPr>
          <w:u w:val="single"/>
        </w:rPr>
      </w:pPr>
      <w:r>
        <w:rPr>
          <w:u w:val="single"/>
        </w:rPr>
        <w:lastRenderedPageBreak/>
        <w:t xml:space="preserve">Example </w:t>
      </w:r>
    </w:p>
    <w:p w:rsidR="00777723" w:rsidRDefault="00777723" w:rsidP="00777723">
      <w:pPr>
        <w:spacing w:after="0" w:line="240" w:lineRule="auto"/>
      </w:pPr>
      <w:r>
        <w:t>A donor gifts £50,000 to be spent on 2 PhD students in Physics (£25,000 to be spent on each).  The donor attaches a condition to the gift that one student is to commence their studies in 2015, and the other student is to commence their studies in 2018.</w:t>
      </w:r>
    </w:p>
    <w:p w:rsidR="00777723" w:rsidRDefault="00777723" w:rsidP="00777723">
      <w:pPr>
        <w:spacing w:after="0" w:line="240" w:lineRule="auto"/>
      </w:pPr>
    </w:p>
    <w:p w:rsidR="00777723" w:rsidRDefault="00777723" w:rsidP="00777723">
      <w:pPr>
        <w:spacing w:after="0" w:line="240" w:lineRule="auto"/>
      </w:pPr>
      <w:r>
        <w:t xml:space="preserve">In this example, at the point of receipt the University does not have full entitlement to the £25,000 that relates to the 2018 student.  Therefore this is deemed to be a performance-related condition, because the University is not entitled to spend this portion of the gift until 2018.  In 2015, 2016 and 2017 the accounting treatment would be to defer this £25,000, and then recognise as income on full entitlement in 2018.  </w:t>
      </w:r>
    </w:p>
    <w:p w:rsidR="00777723" w:rsidRDefault="00777723" w:rsidP="00777723">
      <w:pPr>
        <w:spacing w:after="0" w:line="240" w:lineRule="auto"/>
      </w:pPr>
    </w:p>
    <w:p w:rsidR="00777723" w:rsidRDefault="00777723" w:rsidP="00777723">
      <w:pPr>
        <w:spacing w:after="0" w:line="240" w:lineRule="auto"/>
      </w:pPr>
    </w:p>
    <w:p w:rsidR="00777723" w:rsidRPr="00003782" w:rsidRDefault="00777723" w:rsidP="00777723">
      <w:pPr>
        <w:spacing w:after="0" w:line="240" w:lineRule="auto"/>
      </w:pPr>
    </w:p>
    <w:p w:rsidR="00777723" w:rsidRPr="00777723" w:rsidRDefault="00777723" w:rsidP="00777723">
      <w:pPr>
        <w:spacing w:after="0" w:line="240" w:lineRule="auto"/>
      </w:pPr>
      <w:r>
        <w:t xml:space="preserve">      </w:t>
      </w:r>
    </w:p>
    <w:sectPr w:rsidR="00777723" w:rsidRPr="00777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F9" w:rsidRDefault="00045DF9" w:rsidP="00777723">
      <w:pPr>
        <w:spacing w:after="0" w:line="240" w:lineRule="auto"/>
      </w:pPr>
      <w:r>
        <w:separator/>
      </w:r>
    </w:p>
  </w:endnote>
  <w:endnote w:type="continuationSeparator" w:id="0">
    <w:p w:rsidR="00045DF9" w:rsidRDefault="00045DF9" w:rsidP="0077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F9" w:rsidRDefault="00045DF9" w:rsidP="00777723">
      <w:pPr>
        <w:spacing w:after="0" w:line="240" w:lineRule="auto"/>
      </w:pPr>
      <w:r>
        <w:separator/>
      </w:r>
    </w:p>
  </w:footnote>
  <w:footnote w:type="continuationSeparator" w:id="0">
    <w:p w:rsidR="00045DF9" w:rsidRDefault="00045DF9" w:rsidP="00777723">
      <w:pPr>
        <w:spacing w:after="0" w:line="240" w:lineRule="auto"/>
      </w:pPr>
      <w:r>
        <w:continuationSeparator/>
      </w:r>
    </w:p>
  </w:footnote>
  <w:footnote w:id="1">
    <w:p w:rsidR="00BE06FF" w:rsidRDefault="00BE06FF">
      <w:pPr>
        <w:pStyle w:val="FootnoteText"/>
      </w:pPr>
      <w:r>
        <w:rPr>
          <w:rStyle w:val="FootnoteReference"/>
        </w:rPr>
        <w:footnoteRef/>
      </w:r>
      <w:r>
        <w:t xml:space="preserve"> Please note</w:t>
      </w:r>
      <w:r w:rsidR="000079D3">
        <w:t>,</w:t>
      </w:r>
      <w:r>
        <w:t xml:space="preserve"> DDAR always seek</w:t>
      </w:r>
      <w:r w:rsidR="000079D3">
        <w:t xml:space="preserve"> strategically aligned</w:t>
      </w:r>
      <w:r>
        <w:t xml:space="preserve"> gifts</w:t>
      </w:r>
      <w:r w:rsidR="000079D3">
        <w:t>, so instances of this are expected to be rare.  However, it is possible that the University may be left a gift in a donor’s will, and therefore DDAR may have no influence over the intended purpose.</w:t>
      </w:r>
      <w:r>
        <w:t xml:space="preserve"> </w:t>
      </w:r>
    </w:p>
  </w:footnote>
  <w:footnote w:id="2">
    <w:p w:rsidR="00777723" w:rsidRDefault="00777723" w:rsidP="00777723">
      <w:pPr>
        <w:pStyle w:val="FootnoteText"/>
      </w:pPr>
      <w:r>
        <w:rPr>
          <w:rStyle w:val="FootnoteReference"/>
        </w:rPr>
        <w:footnoteRef/>
      </w:r>
      <w:r>
        <w:t xml:space="preserve"> This may differ for legacy donations.  A legacy donation would be recognised when receipt is deemed probable.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B19"/>
    <w:multiLevelType w:val="hybridMultilevel"/>
    <w:tmpl w:val="B29E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A3E0A"/>
    <w:multiLevelType w:val="hybridMultilevel"/>
    <w:tmpl w:val="A23E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3015"/>
    <w:multiLevelType w:val="hybridMultilevel"/>
    <w:tmpl w:val="BFE6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34DC0"/>
    <w:multiLevelType w:val="hybridMultilevel"/>
    <w:tmpl w:val="1F6E0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692A58"/>
    <w:multiLevelType w:val="hybridMultilevel"/>
    <w:tmpl w:val="3832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DF0FE9"/>
    <w:multiLevelType w:val="hybridMultilevel"/>
    <w:tmpl w:val="0B50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4C3B48"/>
    <w:multiLevelType w:val="hybridMultilevel"/>
    <w:tmpl w:val="FD1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E727F1"/>
    <w:multiLevelType w:val="hybridMultilevel"/>
    <w:tmpl w:val="FDB8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7B49E3"/>
    <w:multiLevelType w:val="hybridMultilevel"/>
    <w:tmpl w:val="B326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5720FA"/>
    <w:multiLevelType w:val="hybridMultilevel"/>
    <w:tmpl w:val="90A8E9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4ED45A47"/>
    <w:multiLevelType w:val="hybridMultilevel"/>
    <w:tmpl w:val="40F4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C77B16"/>
    <w:multiLevelType w:val="hybridMultilevel"/>
    <w:tmpl w:val="924A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0E263B"/>
    <w:multiLevelType w:val="hybridMultilevel"/>
    <w:tmpl w:val="C1AA33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6B9D3116"/>
    <w:multiLevelType w:val="hybridMultilevel"/>
    <w:tmpl w:val="B6EA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1151CF"/>
    <w:multiLevelType w:val="hybridMultilevel"/>
    <w:tmpl w:val="521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8"/>
  </w:num>
  <w:num w:numId="5">
    <w:abstractNumId w:val="13"/>
  </w:num>
  <w:num w:numId="6">
    <w:abstractNumId w:val="3"/>
  </w:num>
  <w:num w:numId="7">
    <w:abstractNumId w:val="2"/>
  </w:num>
  <w:num w:numId="8">
    <w:abstractNumId w:val="7"/>
  </w:num>
  <w:num w:numId="9">
    <w:abstractNumId w:val="14"/>
  </w:num>
  <w:num w:numId="10">
    <w:abstractNumId w:val="6"/>
  </w:num>
  <w:num w:numId="11">
    <w:abstractNumId w:val="4"/>
  </w:num>
  <w:num w:numId="12">
    <w:abstractNumId w:val="0"/>
  </w:num>
  <w:num w:numId="13">
    <w:abstractNumId w:val="9"/>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8A"/>
    <w:rsid w:val="000079D3"/>
    <w:rsid w:val="00025603"/>
    <w:rsid w:val="000416CD"/>
    <w:rsid w:val="00045DF9"/>
    <w:rsid w:val="00051664"/>
    <w:rsid w:val="00161C5B"/>
    <w:rsid w:val="00196E1E"/>
    <w:rsid w:val="002365B3"/>
    <w:rsid w:val="00255E5C"/>
    <w:rsid w:val="003158DB"/>
    <w:rsid w:val="00390F0F"/>
    <w:rsid w:val="003B7755"/>
    <w:rsid w:val="003E2787"/>
    <w:rsid w:val="003E3A56"/>
    <w:rsid w:val="003E7F96"/>
    <w:rsid w:val="0041648A"/>
    <w:rsid w:val="00443E62"/>
    <w:rsid w:val="0047558C"/>
    <w:rsid w:val="004E3DBB"/>
    <w:rsid w:val="005436BD"/>
    <w:rsid w:val="005A0663"/>
    <w:rsid w:val="005E43B9"/>
    <w:rsid w:val="00622D3B"/>
    <w:rsid w:val="00696D6E"/>
    <w:rsid w:val="00756C5A"/>
    <w:rsid w:val="00777723"/>
    <w:rsid w:val="007B533B"/>
    <w:rsid w:val="007F7A63"/>
    <w:rsid w:val="008F59F9"/>
    <w:rsid w:val="00974457"/>
    <w:rsid w:val="009A3442"/>
    <w:rsid w:val="009B633D"/>
    <w:rsid w:val="009D6D6A"/>
    <w:rsid w:val="00A00545"/>
    <w:rsid w:val="00A217AA"/>
    <w:rsid w:val="00A23FA5"/>
    <w:rsid w:val="00A44382"/>
    <w:rsid w:val="00A87F37"/>
    <w:rsid w:val="00A90B6F"/>
    <w:rsid w:val="00AA396B"/>
    <w:rsid w:val="00AF4A68"/>
    <w:rsid w:val="00B51272"/>
    <w:rsid w:val="00BE06FF"/>
    <w:rsid w:val="00BF64EA"/>
    <w:rsid w:val="00C408E8"/>
    <w:rsid w:val="00C55F58"/>
    <w:rsid w:val="00C71509"/>
    <w:rsid w:val="00C9220F"/>
    <w:rsid w:val="00CB0F2E"/>
    <w:rsid w:val="00CD0B1C"/>
    <w:rsid w:val="00CE271F"/>
    <w:rsid w:val="00D34EC3"/>
    <w:rsid w:val="00DA569E"/>
    <w:rsid w:val="00DA5D11"/>
    <w:rsid w:val="00DD75FC"/>
    <w:rsid w:val="00DE3737"/>
    <w:rsid w:val="00DF0DD9"/>
    <w:rsid w:val="00E31D19"/>
    <w:rsid w:val="00EE6C9F"/>
    <w:rsid w:val="00EF299F"/>
    <w:rsid w:val="00F6201F"/>
    <w:rsid w:val="00FA2468"/>
    <w:rsid w:val="00FB465D"/>
    <w:rsid w:val="00FC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71F"/>
    <w:pPr>
      <w:ind w:left="720"/>
      <w:contextualSpacing/>
    </w:pPr>
  </w:style>
  <w:style w:type="paragraph" w:styleId="BalloonText">
    <w:name w:val="Balloon Text"/>
    <w:basedOn w:val="Normal"/>
    <w:link w:val="BalloonTextChar"/>
    <w:uiPriority w:val="99"/>
    <w:semiHidden/>
    <w:unhideWhenUsed/>
    <w:rsid w:val="00AA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6B"/>
    <w:rPr>
      <w:rFonts w:ascii="Tahoma" w:hAnsi="Tahoma" w:cs="Tahoma"/>
      <w:sz w:val="16"/>
      <w:szCs w:val="16"/>
    </w:rPr>
  </w:style>
  <w:style w:type="paragraph" w:styleId="FootnoteText">
    <w:name w:val="footnote text"/>
    <w:basedOn w:val="Normal"/>
    <w:link w:val="FootnoteTextChar"/>
    <w:uiPriority w:val="99"/>
    <w:semiHidden/>
    <w:unhideWhenUsed/>
    <w:rsid w:val="00777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723"/>
    <w:rPr>
      <w:sz w:val="20"/>
      <w:szCs w:val="20"/>
    </w:rPr>
  </w:style>
  <w:style w:type="character" w:styleId="FootnoteReference">
    <w:name w:val="footnote reference"/>
    <w:basedOn w:val="DefaultParagraphFont"/>
    <w:uiPriority w:val="99"/>
    <w:semiHidden/>
    <w:unhideWhenUsed/>
    <w:rsid w:val="007777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71F"/>
    <w:pPr>
      <w:ind w:left="720"/>
      <w:contextualSpacing/>
    </w:pPr>
  </w:style>
  <w:style w:type="paragraph" w:styleId="BalloonText">
    <w:name w:val="Balloon Text"/>
    <w:basedOn w:val="Normal"/>
    <w:link w:val="BalloonTextChar"/>
    <w:uiPriority w:val="99"/>
    <w:semiHidden/>
    <w:unhideWhenUsed/>
    <w:rsid w:val="00AA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6B"/>
    <w:rPr>
      <w:rFonts w:ascii="Tahoma" w:hAnsi="Tahoma" w:cs="Tahoma"/>
      <w:sz w:val="16"/>
      <w:szCs w:val="16"/>
    </w:rPr>
  </w:style>
  <w:style w:type="paragraph" w:styleId="FootnoteText">
    <w:name w:val="footnote text"/>
    <w:basedOn w:val="Normal"/>
    <w:link w:val="FootnoteTextChar"/>
    <w:uiPriority w:val="99"/>
    <w:semiHidden/>
    <w:unhideWhenUsed/>
    <w:rsid w:val="00777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723"/>
    <w:rPr>
      <w:sz w:val="20"/>
      <w:szCs w:val="20"/>
    </w:rPr>
  </w:style>
  <w:style w:type="character" w:styleId="FootnoteReference">
    <w:name w:val="footnote reference"/>
    <w:basedOn w:val="DefaultParagraphFont"/>
    <w:uiPriority w:val="99"/>
    <w:semiHidden/>
    <w:unhideWhenUsed/>
    <w:rsid w:val="00777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94">
      <w:bodyDiv w:val="1"/>
      <w:marLeft w:val="0"/>
      <w:marRight w:val="0"/>
      <w:marTop w:val="0"/>
      <w:marBottom w:val="0"/>
      <w:divBdr>
        <w:top w:val="none" w:sz="0" w:space="0" w:color="auto"/>
        <w:left w:val="none" w:sz="0" w:space="0" w:color="auto"/>
        <w:bottom w:val="none" w:sz="0" w:space="0" w:color="auto"/>
        <w:right w:val="none" w:sz="0" w:space="0" w:color="auto"/>
      </w:divBdr>
    </w:div>
    <w:div w:id="623389330">
      <w:bodyDiv w:val="1"/>
      <w:marLeft w:val="0"/>
      <w:marRight w:val="0"/>
      <w:marTop w:val="0"/>
      <w:marBottom w:val="0"/>
      <w:divBdr>
        <w:top w:val="none" w:sz="0" w:space="0" w:color="auto"/>
        <w:left w:val="none" w:sz="0" w:space="0" w:color="auto"/>
        <w:bottom w:val="none" w:sz="0" w:space="0" w:color="auto"/>
        <w:right w:val="none" w:sz="0" w:space="0" w:color="auto"/>
      </w:divBdr>
    </w:div>
    <w:div w:id="1017119467">
      <w:bodyDiv w:val="1"/>
      <w:marLeft w:val="0"/>
      <w:marRight w:val="0"/>
      <w:marTop w:val="0"/>
      <w:marBottom w:val="0"/>
      <w:divBdr>
        <w:top w:val="none" w:sz="0" w:space="0" w:color="auto"/>
        <w:left w:val="none" w:sz="0" w:space="0" w:color="auto"/>
        <w:bottom w:val="none" w:sz="0" w:space="0" w:color="auto"/>
        <w:right w:val="none" w:sz="0" w:space="0" w:color="auto"/>
      </w:divBdr>
    </w:div>
    <w:div w:id="1455296184">
      <w:bodyDiv w:val="1"/>
      <w:marLeft w:val="0"/>
      <w:marRight w:val="0"/>
      <w:marTop w:val="0"/>
      <w:marBottom w:val="0"/>
      <w:divBdr>
        <w:top w:val="none" w:sz="0" w:space="0" w:color="auto"/>
        <w:left w:val="none" w:sz="0" w:space="0" w:color="auto"/>
        <w:bottom w:val="none" w:sz="0" w:space="0" w:color="auto"/>
        <w:right w:val="none" w:sz="0" w:space="0" w:color="auto"/>
      </w:divBdr>
    </w:div>
    <w:div w:id="1568951905">
      <w:bodyDiv w:val="1"/>
      <w:marLeft w:val="0"/>
      <w:marRight w:val="0"/>
      <w:marTop w:val="0"/>
      <w:marBottom w:val="0"/>
      <w:divBdr>
        <w:top w:val="none" w:sz="0" w:space="0" w:color="auto"/>
        <w:left w:val="none" w:sz="0" w:space="0" w:color="auto"/>
        <w:bottom w:val="none" w:sz="0" w:space="0" w:color="auto"/>
        <w:right w:val="none" w:sz="0" w:space="0" w:color="auto"/>
      </w:divBdr>
    </w:div>
    <w:div w:id="20467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8014-2190-408F-A91D-1357D5A6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2178</Words>
  <Characters>12420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Wilson</dc:creator>
  <cp:lastModifiedBy>Caroline Wilson</cp:lastModifiedBy>
  <cp:revision>2</cp:revision>
  <cp:lastPrinted>2015-02-27T14:11:00Z</cp:lastPrinted>
  <dcterms:created xsi:type="dcterms:W3CDTF">2015-03-25T16:38:00Z</dcterms:created>
  <dcterms:modified xsi:type="dcterms:W3CDTF">2015-03-25T16:38:00Z</dcterms:modified>
</cp:coreProperties>
</file>