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60" w:rsidRDefault="00E57360">
      <w:pPr>
        <w:pStyle w:val="Default"/>
        <w:rPr>
          <w:rFonts w:ascii="Verdana"/>
        </w:rPr>
      </w:pPr>
    </w:p>
    <w:p w:rsidR="00E57360" w:rsidRDefault="00150E08">
      <w:pPr>
        <w:pStyle w:val="Default"/>
        <w:rPr>
          <w:rFonts w:ascii="Verdana" w:eastAsia="Verdana" w:hAnsi="Verdana" w:cs="Verdana"/>
          <w:b/>
          <w:bCs/>
        </w:rPr>
      </w:pPr>
      <w:r>
        <w:rPr>
          <w:rFonts w:ascii="Verdana"/>
          <w:b/>
          <w:bCs/>
          <w:lang w:val="en-US"/>
        </w:rPr>
        <w:t>IELTS Type for Single and Joint CAS - A Summary of the Changes made on 6 April 2015</w:t>
      </w:r>
    </w:p>
    <w:p w:rsidR="00E57360" w:rsidRDefault="00E57360">
      <w:pPr>
        <w:pStyle w:val="Default"/>
        <w:rPr>
          <w:rFonts w:ascii="Verdana" w:eastAsia="Verdana" w:hAnsi="Verdana" w:cs="Verdana"/>
        </w:rPr>
      </w:pPr>
    </w:p>
    <w:p w:rsidR="00E57360" w:rsidRDefault="00150E08">
      <w:pPr>
        <w:pStyle w:val="Default"/>
        <w:rPr>
          <w:rFonts w:ascii="Verdana" w:eastAsia="Verdana" w:hAnsi="Verdana" w:cs="Verdana"/>
        </w:rPr>
      </w:pPr>
      <w:r>
        <w:rPr>
          <w:rFonts w:ascii="Verdana"/>
          <w:lang w:val="en-US"/>
        </w:rPr>
        <w:t xml:space="preserve">Colleagues will be aware from previous bulletin items over the past month that changes have been made to IELTS from 6 April 2015, with a differentiation made by the UKVI between the </w:t>
      </w:r>
      <w:r>
        <w:rPr>
          <w:rFonts w:hAnsi="Verdana"/>
          <w:lang w:val="en-US"/>
        </w:rPr>
        <w:t>‘</w:t>
      </w:r>
      <w:r>
        <w:rPr>
          <w:rFonts w:ascii="Verdana"/>
          <w:lang w:val="en-US"/>
        </w:rPr>
        <w:t>IELTS Academic test</w:t>
      </w:r>
      <w:r>
        <w:rPr>
          <w:rFonts w:hAnsi="Verdana"/>
          <w:lang w:val="en-US"/>
        </w:rPr>
        <w:t>’</w:t>
      </w:r>
      <w:r>
        <w:rPr>
          <w:rFonts w:hAnsi="Verdana"/>
          <w:lang w:val="en-US"/>
        </w:rPr>
        <w:t xml:space="preserve"> </w:t>
      </w:r>
      <w:r>
        <w:rPr>
          <w:rFonts w:ascii="Verdana"/>
          <w:lang w:val="en-US"/>
        </w:rPr>
        <w:t xml:space="preserve">and the </w:t>
      </w:r>
      <w:r>
        <w:rPr>
          <w:rFonts w:hAnsi="Verdana"/>
          <w:lang w:val="en-US"/>
        </w:rPr>
        <w:t>‘</w:t>
      </w:r>
      <w:r>
        <w:rPr>
          <w:rFonts w:ascii="Verdana"/>
          <w:lang w:val="en-US"/>
        </w:rPr>
        <w:t>IELTS for UKVI</w:t>
      </w:r>
      <w:r>
        <w:rPr>
          <w:rFonts w:hAnsi="Verdana"/>
          <w:lang w:val="en-US"/>
        </w:rPr>
        <w:t>’</w:t>
      </w:r>
      <w:r>
        <w:rPr>
          <w:rFonts w:hAnsi="Verdana"/>
          <w:lang w:val="en-US"/>
        </w:rPr>
        <w:t xml:space="preserve"> </w:t>
      </w:r>
      <w:r>
        <w:rPr>
          <w:rFonts w:ascii="Verdana"/>
          <w:lang w:val="en-US"/>
        </w:rPr>
        <w:t xml:space="preserve">test. </w:t>
      </w:r>
    </w:p>
    <w:p w:rsidR="00E57360" w:rsidRDefault="00E57360">
      <w:pPr>
        <w:pStyle w:val="Default"/>
        <w:rPr>
          <w:rFonts w:ascii="Verdana" w:eastAsia="Verdana" w:hAnsi="Verdana" w:cs="Verdana"/>
        </w:rPr>
      </w:pPr>
    </w:p>
    <w:p w:rsidR="00E57360" w:rsidRDefault="00150E08">
      <w:pPr>
        <w:pStyle w:val="Default"/>
        <w:rPr>
          <w:rFonts w:ascii="Verdana" w:eastAsia="Verdana" w:hAnsi="Verdana" w:cs="Verdana"/>
        </w:rPr>
      </w:pPr>
      <w:r>
        <w:rPr>
          <w:rFonts w:ascii="Verdana"/>
          <w:lang w:val="en-US"/>
        </w:rPr>
        <w:t>For students who wi</w:t>
      </w:r>
      <w:r>
        <w:rPr>
          <w:rFonts w:ascii="Verdana"/>
          <w:lang w:val="en-US"/>
        </w:rPr>
        <w:t xml:space="preserve">ll apply for a Tier 4 visa to study courses below degree level (e.g. </w:t>
      </w:r>
      <w:proofErr w:type="spellStart"/>
      <w:r>
        <w:rPr>
          <w:rFonts w:ascii="Verdana"/>
          <w:lang w:val="en-US"/>
        </w:rPr>
        <w:t>pre-sessional</w:t>
      </w:r>
      <w:proofErr w:type="spellEnd"/>
      <w:r>
        <w:rPr>
          <w:rFonts w:ascii="Verdana"/>
          <w:lang w:val="en-US"/>
        </w:rPr>
        <w:t xml:space="preserve"> English), the UKVI requires that test takers select the </w:t>
      </w:r>
      <w:r>
        <w:rPr>
          <w:rFonts w:hAnsi="Verdana"/>
          <w:lang w:val="en-US"/>
        </w:rPr>
        <w:t>‘</w:t>
      </w:r>
      <w:r>
        <w:rPr>
          <w:rFonts w:ascii="Verdana"/>
          <w:lang w:val="en-US"/>
        </w:rPr>
        <w:t>IELTS for UKVI</w:t>
      </w:r>
      <w:r>
        <w:rPr>
          <w:rFonts w:hAnsi="Verdana"/>
          <w:lang w:val="en-US"/>
        </w:rPr>
        <w:t>’</w:t>
      </w:r>
      <w:r>
        <w:rPr>
          <w:rFonts w:hAnsi="Verdana"/>
          <w:lang w:val="en-US"/>
        </w:rPr>
        <w:t xml:space="preserve"> </w:t>
      </w:r>
      <w:r>
        <w:rPr>
          <w:rFonts w:ascii="Verdana"/>
          <w:lang w:val="en-US"/>
        </w:rPr>
        <w:t>test. To help students and institutions transition to this new arrangement, the UKVI will continue t</w:t>
      </w:r>
      <w:r>
        <w:rPr>
          <w:rFonts w:ascii="Verdana"/>
          <w:lang w:val="en-US"/>
        </w:rPr>
        <w:t xml:space="preserve">o accept IELTS tests taken before 6 April 2015. This concession is in place until 5 November 2015. After 5 November, visa applicants for courses that are below degree level will only be able to use the </w:t>
      </w:r>
      <w:r>
        <w:rPr>
          <w:rFonts w:hAnsi="Verdana"/>
          <w:lang w:val="en-US"/>
        </w:rPr>
        <w:t>‘</w:t>
      </w:r>
      <w:r>
        <w:rPr>
          <w:rFonts w:ascii="Verdana"/>
          <w:lang w:val="en-US"/>
        </w:rPr>
        <w:t>IELTS for UKVI</w:t>
      </w:r>
      <w:r>
        <w:rPr>
          <w:rFonts w:hAnsi="Verdana"/>
          <w:lang w:val="en-US"/>
        </w:rPr>
        <w:t>’</w:t>
      </w:r>
      <w:r>
        <w:rPr>
          <w:rFonts w:hAnsi="Verdana"/>
          <w:lang w:val="en-US"/>
        </w:rPr>
        <w:t xml:space="preserve"> </w:t>
      </w:r>
      <w:r>
        <w:rPr>
          <w:rFonts w:ascii="Verdana"/>
          <w:lang w:val="en-US"/>
        </w:rPr>
        <w:t>test result as evidence of their Engl</w:t>
      </w:r>
      <w:r>
        <w:rPr>
          <w:rFonts w:ascii="Verdana"/>
          <w:lang w:val="en-US"/>
        </w:rPr>
        <w:t xml:space="preserve">ish language in their Tier 4 visa application. </w:t>
      </w:r>
    </w:p>
    <w:p w:rsidR="00E57360" w:rsidRDefault="00E57360">
      <w:pPr>
        <w:pStyle w:val="Default"/>
        <w:rPr>
          <w:rFonts w:ascii="Verdana" w:eastAsia="Verdana" w:hAnsi="Verdana" w:cs="Verdana"/>
        </w:rPr>
      </w:pPr>
    </w:p>
    <w:p w:rsidR="00E57360" w:rsidRDefault="00150E08">
      <w:pPr>
        <w:pStyle w:val="Default"/>
        <w:rPr>
          <w:rFonts w:ascii="Verdana" w:eastAsia="Verdana" w:hAnsi="Verdana" w:cs="Verdana"/>
        </w:rPr>
      </w:pPr>
      <w:r>
        <w:rPr>
          <w:rFonts w:ascii="Verdana"/>
          <w:lang w:val="en-US"/>
        </w:rPr>
        <w:t xml:space="preserve">For degree-level study, the UKVI permits higher education institutions to vouch for English language and the </w:t>
      </w:r>
      <w:r>
        <w:rPr>
          <w:rFonts w:hAnsi="Verdana"/>
          <w:lang w:val="en-US"/>
        </w:rPr>
        <w:t>‘</w:t>
      </w:r>
      <w:r>
        <w:rPr>
          <w:rFonts w:ascii="Verdana"/>
          <w:lang w:val="en-US"/>
        </w:rPr>
        <w:t>IELTS Academic</w:t>
      </w:r>
      <w:r>
        <w:rPr>
          <w:rFonts w:hAnsi="Verdana"/>
          <w:lang w:val="en-US"/>
        </w:rPr>
        <w:t>’</w:t>
      </w:r>
      <w:r>
        <w:rPr>
          <w:rFonts w:hAnsi="Verdana"/>
          <w:lang w:val="en-US"/>
        </w:rPr>
        <w:t xml:space="preserve"> </w:t>
      </w:r>
      <w:r>
        <w:rPr>
          <w:rFonts w:ascii="Verdana"/>
          <w:lang w:val="en-US"/>
        </w:rPr>
        <w:t>test is now on the University</w:t>
      </w:r>
      <w:r>
        <w:rPr>
          <w:rFonts w:hAnsi="Verdana"/>
          <w:lang w:val="en-US"/>
        </w:rPr>
        <w:t>’</w:t>
      </w:r>
      <w:r>
        <w:rPr>
          <w:rFonts w:ascii="Verdana"/>
          <w:lang w:val="en-US"/>
        </w:rPr>
        <w:t>s B2 vouch list.</w:t>
      </w:r>
    </w:p>
    <w:p w:rsidR="00E57360" w:rsidRDefault="00E57360">
      <w:pPr>
        <w:pStyle w:val="Default"/>
        <w:rPr>
          <w:rFonts w:ascii="Verdana" w:eastAsia="Verdana" w:hAnsi="Verdana" w:cs="Verdana"/>
        </w:rPr>
      </w:pPr>
    </w:p>
    <w:p w:rsidR="00E57360" w:rsidRDefault="00150E08">
      <w:pPr>
        <w:pStyle w:val="Default"/>
        <w:rPr>
          <w:rFonts w:ascii="Verdana" w:eastAsia="Verdana" w:hAnsi="Verdana" w:cs="Verdana"/>
        </w:rPr>
      </w:pPr>
      <w:r>
        <w:rPr>
          <w:rFonts w:ascii="Verdana"/>
          <w:lang w:val="en-US"/>
        </w:rPr>
        <w:t xml:space="preserve">We have received several queries </w:t>
      </w:r>
      <w:r>
        <w:rPr>
          <w:rFonts w:ascii="Verdana"/>
          <w:lang w:val="en-US"/>
        </w:rPr>
        <w:t>from Schools about these changes to IELTS. In addition to answering individual queries, we have also put together this summary to assist colleagues in applying the guidance:</w:t>
      </w:r>
    </w:p>
    <w:p w:rsidR="00E57360" w:rsidRDefault="00E57360">
      <w:pPr>
        <w:pStyle w:val="Default"/>
        <w:rPr>
          <w:rFonts w:ascii="Verdana" w:eastAsia="Verdana" w:hAnsi="Verdana" w:cs="Verdana"/>
          <w:color w:val="1E497D"/>
          <w:sz w:val="30"/>
          <w:szCs w:val="30"/>
        </w:rPr>
      </w:pPr>
    </w:p>
    <w:tbl>
      <w:tblPr>
        <w:tblW w:w="90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E57360">
        <w:trPr>
          <w:trHeight w:val="488"/>
          <w:tblHeader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Course and CAS type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Use of IELTS to meet English Language Requirements of UKVI</w:t>
            </w:r>
          </w:p>
        </w:tc>
      </w:tr>
      <w:tr w:rsidR="00E57360">
        <w:tblPrEx>
          <w:shd w:val="clear" w:color="auto" w:fill="auto"/>
        </w:tblPrEx>
        <w:trPr>
          <w:trHeight w:val="2408"/>
        </w:trPr>
        <w:tc>
          <w:tcPr>
            <w:tcW w:w="4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r>
              <w:rPr>
                <w:rFonts w:ascii="Helvetica" w:hAnsi="Arial Unicode MS" w:cs="Arial Unicode MS"/>
              </w:rPr>
              <w:t>D</w:t>
            </w:r>
            <w:r>
              <w:rPr>
                <w:rFonts w:ascii="Helvetica" w:hAnsi="Arial Unicode MS" w:cs="Arial Unicode MS"/>
              </w:rPr>
              <w:t xml:space="preserve">egree course only study (single CAS). </w:t>
            </w:r>
          </w:p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This category includes degree courses with an integrated foundation year (i.e. 4 or 5 year CAS)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 xml:space="preserve">The student can use: </w:t>
            </w:r>
          </w:p>
          <w:p w:rsidR="00E57360" w:rsidRDefault="00150E08">
            <w:pPr>
              <w:pStyle w:val="TableStyle2"/>
              <w:numPr>
                <w:ilvl w:val="0"/>
                <w:numId w:val="2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  <w:lang w:val="en-US"/>
              </w:rPr>
              <w:t xml:space="preserve">An IELTS test taken before 6 April 2015 that is no more than 2 years old on the start date of the </w:t>
            </w:r>
            <w:r>
              <w:rPr>
                <w:rFonts w:eastAsia="Arial Unicode MS" w:hAnsi="Arial Unicode MS" w:cs="Arial Unicode MS"/>
                <w:lang w:val="en-US"/>
              </w:rPr>
              <w:t>course</w:t>
            </w:r>
          </w:p>
          <w:p w:rsidR="00E57360" w:rsidRDefault="00150E08">
            <w:pPr>
              <w:pStyle w:val="TableStyle2"/>
              <w:numPr>
                <w:ilvl w:val="0"/>
                <w:numId w:val="3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  <w:lang w:val="en-US"/>
              </w:rPr>
              <w:t xml:space="preserve">An </w:t>
            </w:r>
            <w:r>
              <w:rPr>
                <w:rFonts w:ascii="Arial Unicode MS" w:eastAsia="Arial Unicode MS" w:cs="Arial Unicode MS"/>
                <w:lang w:val="en-US"/>
              </w:rPr>
              <w:t>‘</w:t>
            </w:r>
            <w:r>
              <w:rPr>
                <w:rFonts w:eastAsia="Arial Unicode MS" w:hAnsi="Arial Unicode MS" w:cs="Arial Unicode MS"/>
                <w:lang w:val="en-US"/>
              </w:rPr>
              <w:t>IELTS for UKVI</w:t>
            </w:r>
            <w:r>
              <w:rPr>
                <w:rFonts w:ascii="Arial Unicode MS" w:eastAsia="Arial Unicode MS" w:cs="Arial Unicode MS"/>
                <w:lang w:val="en-US"/>
              </w:rPr>
              <w:t>’</w:t>
            </w:r>
            <w:r>
              <w:rPr>
                <w:rFonts w:ascii="Arial Unicode MS" w:eastAsia="Arial Unicode MS" w:cs="Arial Unicode MS"/>
                <w:lang w:val="en-US"/>
              </w:rPr>
              <w:t xml:space="preserve"> </w:t>
            </w:r>
            <w:r>
              <w:rPr>
                <w:rFonts w:eastAsia="Arial Unicode MS" w:hAnsi="Arial Unicode MS" w:cs="Arial Unicode MS"/>
                <w:lang w:val="en-US"/>
              </w:rPr>
              <w:t>test taken after 6 April 2015</w:t>
            </w:r>
          </w:p>
          <w:p w:rsidR="00E57360" w:rsidRDefault="00150E08">
            <w:pPr>
              <w:pStyle w:val="TableStyle2"/>
              <w:numPr>
                <w:ilvl w:val="0"/>
                <w:numId w:val="4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  <w:lang w:val="en-US"/>
              </w:rPr>
              <w:t xml:space="preserve">An </w:t>
            </w:r>
            <w:r>
              <w:rPr>
                <w:rFonts w:ascii="Arial Unicode MS" w:eastAsia="Arial Unicode MS" w:cs="Arial Unicode MS"/>
                <w:lang w:val="en-US"/>
              </w:rPr>
              <w:t>‘</w:t>
            </w:r>
            <w:r>
              <w:rPr>
                <w:rFonts w:eastAsia="Arial Unicode MS" w:hAnsi="Arial Unicode MS" w:cs="Arial Unicode MS"/>
                <w:lang w:val="en-US"/>
              </w:rPr>
              <w:t>IELTS Academic</w:t>
            </w:r>
            <w:r>
              <w:rPr>
                <w:rFonts w:ascii="Arial Unicode MS" w:eastAsia="Arial Unicode MS" w:cs="Arial Unicode MS"/>
                <w:lang w:val="en-US"/>
              </w:rPr>
              <w:t>’</w:t>
            </w:r>
            <w:r>
              <w:rPr>
                <w:rFonts w:ascii="Arial Unicode MS" w:eastAsia="Arial Unicode MS" w:cs="Arial Unicode MS"/>
                <w:lang w:val="en-US"/>
              </w:rPr>
              <w:t xml:space="preserve"> </w:t>
            </w:r>
            <w:r>
              <w:rPr>
                <w:rFonts w:eastAsia="Arial Unicode MS" w:hAnsi="Arial Unicode MS" w:cs="Arial Unicode MS"/>
                <w:lang w:val="en-US"/>
              </w:rPr>
              <w:t>test taken after 6 April 2015, because this qualification is now on the University</w:t>
            </w:r>
            <w:r>
              <w:rPr>
                <w:rFonts w:ascii="Arial Unicode MS" w:eastAsia="Arial Unicode MS" w:cs="Arial Unicode MS"/>
                <w:lang w:val="en-US"/>
              </w:rPr>
              <w:t>’</w:t>
            </w:r>
            <w:r>
              <w:rPr>
                <w:rFonts w:eastAsia="Arial Unicode MS" w:hAnsi="Arial Unicode MS" w:cs="Arial Unicode MS"/>
                <w:lang w:val="en-US"/>
              </w:rPr>
              <w:t>s vouch list of qualifications</w:t>
            </w:r>
          </w:p>
        </w:tc>
      </w:tr>
      <w:tr w:rsidR="00E57360">
        <w:tblPrEx>
          <w:shd w:val="clear" w:color="auto" w:fill="auto"/>
        </w:tblPrEx>
        <w:trPr>
          <w:trHeight w:val="2885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International Foundation Year students that have elected for a </w:t>
            </w:r>
            <w:r>
              <w:rPr>
                <w:rFonts w:eastAsia="Arial Unicode MS" w:hAnsi="Arial Unicode MS" w:cs="Arial Unicode MS"/>
              </w:rPr>
              <w:t>one year CAS to cover the foundation year only (single CAS)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 xml:space="preserve">The student can use: </w:t>
            </w:r>
          </w:p>
          <w:p w:rsidR="00E57360" w:rsidRDefault="00150E08">
            <w:pPr>
              <w:pStyle w:val="TableStyle2"/>
              <w:numPr>
                <w:ilvl w:val="0"/>
                <w:numId w:val="5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  <w:lang w:val="en-US"/>
              </w:rPr>
              <w:t>An IELTS test taken before 6 April 2015 that is no more than 2 years old on the start date of the course. This is a concession by the UKVI for this type of student that is on</w:t>
            </w:r>
            <w:r>
              <w:rPr>
                <w:rFonts w:eastAsia="Arial Unicode MS" w:hAnsi="Arial Unicode MS" w:cs="Arial Unicode MS"/>
                <w:lang w:val="en-US"/>
              </w:rPr>
              <w:t xml:space="preserve">ly available for visa applications made before 5 November 2015. </w:t>
            </w:r>
          </w:p>
          <w:p w:rsidR="00E57360" w:rsidRDefault="00150E08">
            <w:pPr>
              <w:pStyle w:val="TableStyle2"/>
              <w:numPr>
                <w:ilvl w:val="0"/>
                <w:numId w:val="6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</w:rPr>
              <w:t xml:space="preserve">An </w:t>
            </w:r>
            <w:r>
              <w:rPr>
                <w:rFonts w:ascii="Arial Unicode MS" w:eastAsia="Arial Unicode MS" w:cs="Arial Unicode MS"/>
              </w:rPr>
              <w:t>‘</w:t>
            </w:r>
            <w:r>
              <w:rPr>
                <w:rFonts w:eastAsia="Arial Unicode MS" w:hAnsi="Arial Unicode MS" w:cs="Arial Unicode MS"/>
                <w:lang w:val="da-DK"/>
              </w:rPr>
              <w:t>IELTS for UKVI</w:t>
            </w:r>
            <w:r>
              <w:rPr>
                <w:rFonts w:ascii="Arial Unicode MS" w:eastAsia="Arial Unicode MS" w:cs="Arial Unicode MS"/>
                <w:lang w:val="fr-FR"/>
              </w:rPr>
              <w:t>’</w:t>
            </w:r>
            <w:r>
              <w:rPr>
                <w:rFonts w:ascii="Arial Unicode MS" w:eastAsia="Arial Unicode MS" w:cs="Arial Unicode MS"/>
                <w:lang w:val="fr-FR"/>
              </w:rPr>
              <w:t xml:space="preserve"> </w:t>
            </w:r>
            <w:r>
              <w:rPr>
                <w:rFonts w:eastAsia="Arial Unicode MS" w:hAnsi="Arial Unicode MS" w:cs="Arial Unicode MS"/>
                <w:lang w:val="en-US"/>
              </w:rPr>
              <w:t xml:space="preserve">test taken after 6 April 2015. </w:t>
            </w:r>
          </w:p>
          <w:p w:rsidR="00E57360" w:rsidRDefault="00E57360">
            <w:pPr>
              <w:pStyle w:val="TableStyle2"/>
            </w:pPr>
          </w:p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 xml:space="preserve">These students cannot be issued a CAS on the basis of a University B2 vouch list qualification. </w:t>
            </w:r>
          </w:p>
        </w:tc>
      </w:tr>
      <w:tr w:rsidR="00E57360">
        <w:tblPrEx>
          <w:shd w:val="clear" w:color="auto" w:fill="auto"/>
        </w:tblPrEx>
        <w:trPr>
          <w:trHeight w:val="3605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</w:rPr>
              <w:lastRenderedPageBreak/>
              <w:t xml:space="preserve">Pre-sessional English course + degree </w:t>
            </w:r>
            <w:r>
              <w:rPr>
                <w:rFonts w:eastAsia="Arial Unicode MS" w:hAnsi="Arial Unicode MS" w:cs="Arial Unicode MS"/>
              </w:rPr>
              <w:t>(Joint CAS)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 xml:space="preserve">The student can use: </w:t>
            </w:r>
          </w:p>
          <w:p w:rsidR="00E57360" w:rsidRDefault="00150E08">
            <w:pPr>
              <w:pStyle w:val="TableStyle2"/>
              <w:numPr>
                <w:ilvl w:val="0"/>
                <w:numId w:val="7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  <w:lang w:val="en-US"/>
              </w:rPr>
              <w:t>An IELTS test taken before 6 April 2015 that is no more than 2 years old on the start date of the course. This is a concession by the UKVI for this type of student that is only available for visa applications made before 5</w:t>
            </w:r>
            <w:r>
              <w:rPr>
                <w:rFonts w:eastAsia="Arial Unicode MS" w:hAnsi="Arial Unicode MS" w:cs="Arial Unicode MS"/>
                <w:lang w:val="en-US"/>
              </w:rPr>
              <w:t xml:space="preserve"> November 2015. </w:t>
            </w:r>
          </w:p>
          <w:p w:rsidR="00E57360" w:rsidRDefault="00150E08">
            <w:pPr>
              <w:pStyle w:val="TableStyle2"/>
              <w:numPr>
                <w:ilvl w:val="0"/>
                <w:numId w:val="8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</w:rPr>
              <w:t xml:space="preserve">An </w:t>
            </w:r>
            <w:r>
              <w:rPr>
                <w:rFonts w:ascii="Arial Unicode MS" w:eastAsia="Arial Unicode MS" w:cs="Arial Unicode MS"/>
              </w:rPr>
              <w:t>‘</w:t>
            </w:r>
            <w:r>
              <w:rPr>
                <w:rFonts w:eastAsia="Arial Unicode MS" w:hAnsi="Arial Unicode MS" w:cs="Arial Unicode MS"/>
                <w:lang w:val="da-DK"/>
              </w:rPr>
              <w:t>IELTS for UKVI</w:t>
            </w:r>
            <w:r>
              <w:rPr>
                <w:rFonts w:ascii="Arial Unicode MS" w:eastAsia="Arial Unicode MS" w:cs="Arial Unicode MS"/>
                <w:lang w:val="fr-FR"/>
              </w:rPr>
              <w:t>’</w:t>
            </w:r>
            <w:r>
              <w:rPr>
                <w:rFonts w:ascii="Arial Unicode MS" w:eastAsia="Arial Unicode MS" w:cs="Arial Unicode MS"/>
                <w:lang w:val="fr-FR"/>
              </w:rPr>
              <w:t xml:space="preserve"> </w:t>
            </w:r>
            <w:r>
              <w:rPr>
                <w:rFonts w:eastAsia="Arial Unicode MS" w:hAnsi="Arial Unicode MS" w:cs="Arial Unicode MS"/>
                <w:lang w:val="en-US"/>
              </w:rPr>
              <w:t xml:space="preserve">test taken after 6 April 2015. </w:t>
            </w:r>
          </w:p>
          <w:p w:rsidR="00E57360" w:rsidRDefault="00E57360">
            <w:pPr>
              <w:pStyle w:val="TableStyle2"/>
            </w:pPr>
          </w:p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>The University</w:t>
            </w:r>
            <w:r>
              <w:rPr>
                <w:rFonts w:ascii="Arial Unicode MS" w:eastAsia="Arial Unicode MS" w:cs="Arial Unicode MS"/>
                <w:lang w:val="en-US"/>
              </w:rPr>
              <w:t>’</w:t>
            </w:r>
            <w:r>
              <w:rPr>
                <w:rFonts w:eastAsia="Arial Unicode MS" w:hAnsi="Arial Unicode MS" w:cs="Arial Unicode MS"/>
                <w:lang w:val="en-US"/>
              </w:rPr>
              <w:t>s B2 vouch list cannot currently be used for these students. We will inform Schools through this bulletin and our intranet of any change to this policy.</w:t>
            </w:r>
          </w:p>
        </w:tc>
      </w:tr>
      <w:tr w:rsidR="00E57360">
        <w:tblPrEx>
          <w:shd w:val="clear" w:color="auto" w:fill="auto"/>
        </w:tblPrEx>
        <w:trPr>
          <w:trHeight w:val="3125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Pre-sessional </w:t>
            </w:r>
            <w:r>
              <w:rPr>
                <w:rFonts w:eastAsia="Arial Unicode MS" w:hAnsi="Arial Unicode MS" w:cs="Arial Unicode MS"/>
              </w:rPr>
              <w:t>course or Gateway English course (single CAS)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 xml:space="preserve">The student can use: </w:t>
            </w:r>
          </w:p>
          <w:p w:rsidR="00E57360" w:rsidRDefault="00150E08">
            <w:pPr>
              <w:pStyle w:val="TableStyle2"/>
              <w:numPr>
                <w:ilvl w:val="0"/>
                <w:numId w:val="9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  <w:lang w:val="en-US"/>
              </w:rPr>
              <w:t>An IELTS test taken before 6 April 2015 that is no more than 2 years old on the start date of the course. This is a concession by the UKVI for this type of student that is only available f</w:t>
            </w:r>
            <w:r>
              <w:rPr>
                <w:rFonts w:eastAsia="Arial Unicode MS" w:hAnsi="Arial Unicode MS" w:cs="Arial Unicode MS"/>
                <w:lang w:val="en-US"/>
              </w:rPr>
              <w:t xml:space="preserve">or visa applications made before 5 November 2015. </w:t>
            </w:r>
          </w:p>
          <w:p w:rsidR="00E57360" w:rsidRDefault="00150E08">
            <w:pPr>
              <w:pStyle w:val="TableStyle2"/>
              <w:numPr>
                <w:ilvl w:val="0"/>
                <w:numId w:val="10"/>
              </w:numPr>
              <w:rPr>
                <w:position w:val="4"/>
                <w:sz w:val="24"/>
                <w:szCs w:val="24"/>
              </w:rPr>
            </w:pPr>
            <w:r>
              <w:rPr>
                <w:rFonts w:eastAsia="Arial Unicode MS" w:hAnsi="Arial Unicode MS" w:cs="Arial Unicode MS"/>
              </w:rPr>
              <w:t xml:space="preserve">An </w:t>
            </w:r>
            <w:r>
              <w:rPr>
                <w:rFonts w:ascii="Arial Unicode MS" w:eastAsia="Arial Unicode MS" w:cs="Arial Unicode MS"/>
              </w:rPr>
              <w:t>‘</w:t>
            </w:r>
            <w:r>
              <w:rPr>
                <w:rFonts w:eastAsia="Arial Unicode MS" w:hAnsi="Arial Unicode MS" w:cs="Arial Unicode MS"/>
                <w:lang w:val="da-DK"/>
              </w:rPr>
              <w:t>IELTS for UKVI</w:t>
            </w:r>
            <w:r>
              <w:rPr>
                <w:rFonts w:ascii="Arial Unicode MS" w:eastAsia="Arial Unicode MS" w:cs="Arial Unicode MS"/>
                <w:lang w:val="fr-FR"/>
              </w:rPr>
              <w:t>’</w:t>
            </w:r>
            <w:r>
              <w:rPr>
                <w:rFonts w:ascii="Arial Unicode MS" w:eastAsia="Arial Unicode MS" w:cs="Arial Unicode MS"/>
                <w:lang w:val="fr-FR"/>
              </w:rPr>
              <w:t xml:space="preserve"> </w:t>
            </w:r>
            <w:r>
              <w:rPr>
                <w:rFonts w:eastAsia="Arial Unicode MS" w:hAnsi="Arial Unicode MS" w:cs="Arial Unicode MS"/>
                <w:lang w:val="en-US"/>
              </w:rPr>
              <w:t xml:space="preserve">test taken after 6 April 2015. </w:t>
            </w:r>
          </w:p>
          <w:p w:rsidR="00E57360" w:rsidRDefault="00E57360">
            <w:pPr>
              <w:pStyle w:val="TableStyle2"/>
            </w:pPr>
          </w:p>
          <w:p w:rsidR="00E57360" w:rsidRDefault="00150E08">
            <w:pPr>
              <w:pStyle w:val="TableStyle2"/>
            </w:pPr>
            <w:r>
              <w:rPr>
                <w:rFonts w:eastAsia="Arial Unicode MS" w:hAnsi="Arial Unicode MS" w:cs="Arial Unicode MS"/>
                <w:lang w:val="en-US"/>
              </w:rPr>
              <w:t xml:space="preserve">These students cannot be issued a CAS on the basis of a University B2 </w:t>
            </w:r>
            <w:proofErr w:type="spellStart"/>
            <w:r>
              <w:rPr>
                <w:rFonts w:eastAsia="Arial Unicode MS" w:hAnsi="Arial Unicode MS" w:cs="Arial Unicode MS"/>
                <w:lang w:val="fr-FR"/>
              </w:rPr>
              <w:t>vouch</w:t>
            </w:r>
            <w:proofErr w:type="spellEnd"/>
            <w:r>
              <w:rPr>
                <w:rFonts w:eastAsia="Arial Unicode MS" w:hAnsi="Arial Unicode MS" w:cs="Arial Unicode MS"/>
                <w:lang w:val="fr-FR"/>
              </w:rPr>
              <w:t xml:space="preserve"> </w:t>
            </w:r>
            <w:proofErr w:type="spellStart"/>
            <w:r>
              <w:rPr>
                <w:rFonts w:eastAsia="Arial Unicode MS" w:hAnsi="Arial Unicode MS" w:cs="Arial Unicode MS"/>
                <w:lang w:val="fr-FR"/>
              </w:rPr>
              <w:t>list</w:t>
            </w:r>
            <w:proofErr w:type="spellEnd"/>
            <w:r>
              <w:rPr>
                <w:rFonts w:eastAsia="Arial Unicode MS" w:hAnsi="Arial Unicode MS" w:cs="Arial Unicode MS"/>
                <w:lang w:val="fr-FR"/>
              </w:rPr>
              <w:t xml:space="preserve"> qualification.</w:t>
            </w:r>
          </w:p>
        </w:tc>
      </w:tr>
    </w:tbl>
    <w:p w:rsidR="00E57360" w:rsidRDefault="00E57360">
      <w:pPr>
        <w:pStyle w:val="Default"/>
        <w:rPr>
          <w:rFonts w:ascii="Verdana" w:eastAsia="Verdana" w:hAnsi="Verdana" w:cs="Verdana"/>
          <w:color w:val="1E497D"/>
          <w:sz w:val="30"/>
          <w:szCs w:val="30"/>
        </w:rPr>
      </w:pPr>
    </w:p>
    <w:p w:rsidR="00E57360" w:rsidRDefault="00E57360">
      <w:pPr>
        <w:pStyle w:val="Default"/>
        <w:rPr>
          <w:rFonts w:ascii="Verdana" w:eastAsia="Verdana" w:hAnsi="Verdana" w:cs="Verdana"/>
        </w:rPr>
      </w:pPr>
    </w:p>
    <w:p w:rsidR="00E57360" w:rsidRDefault="00150E08">
      <w:pPr>
        <w:pStyle w:val="Default"/>
        <w:rPr>
          <w:rFonts w:ascii="Verdana" w:eastAsia="Verdana" w:hAnsi="Verdana" w:cs="Verdana"/>
          <w:color w:val="1E497D"/>
        </w:rPr>
      </w:pPr>
      <w:r>
        <w:rPr>
          <w:rFonts w:ascii="Verdana"/>
          <w:lang w:val="en-US"/>
        </w:rPr>
        <w:t xml:space="preserve">If you need further assistance in understanding the changes to IELTS, or with any other English language for visa issue, please contact </w:t>
      </w:r>
      <w:hyperlink r:id="rId8" w:history="1">
        <w:r>
          <w:rPr>
            <w:rStyle w:val="Hyperlink0"/>
            <w:rFonts w:ascii="Verdana"/>
            <w:color w:val="1E497D"/>
            <w:lang w:val="en-US"/>
          </w:rPr>
          <w:t>visa@manchester.ac.uk</w:t>
        </w:r>
      </w:hyperlink>
      <w:r>
        <w:rPr>
          <w:rStyle w:val="Hyperlink0"/>
          <w:rFonts w:ascii="Verdana"/>
          <w:color w:val="1E497D"/>
          <w:lang w:val="en-US"/>
        </w:rPr>
        <w:t xml:space="preserve"> </w:t>
      </w:r>
      <w:r>
        <w:rPr>
          <w:rFonts w:ascii="Verdana"/>
          <w:color w:val="1E497D"/>
          <w:lang w:val="en-US"/>
        </w:rPr>
        <w:t xml:space="preserve"> </w:t>
      </w:r>
    </w:p>
    <w:p w:rsidR="00E57360" w:rsidRDefault="00E57360">
      <w:pPr>
        <w:pStyle w:val="Default"/>
        <w:rPr>
          <w:rFonts w:ascii="Verdana" w:eastAsia="Verdana" w:hAnsi="Verdana" w:cs="Verdana"/>
          <w:color w:val="1E497D"/>
          <w:sz w:val="30"/>
          <w:szCs w:val="30"/>
        </w:rPr>
      </w:pPr>
    </w:p>
    <w:p w:rsidR="00E57360" w:rsidRDefault="00150E08">
      <w:pPr>
        <w:pStyle w:val="Default"/>
      </w:pPr>
      <w:r>
        <w:rPr>
          <w:rFonts w:ascii="Verdana" w:eastAsia="Verdana" w:hAnsi="Verdana" w:cs="Verdana"/>
          <w:color w:val="1E497D"/>
          <w:sz w:val="30"/>
          <w:szCs w:val="30"/>
        </w:rPr>
        <w:br/>
      </w:r>
      <w:bookmarkStart w:id="0" w:name="_GoBack"/>
      <w:bookmarkEnd w:id="0"/>
    </w:p>
    <w:sectPr w:rsidR="00E57360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0E08">
      <w:r>
        <w:separator/>
      </w:r>
    </w:p>
  </w:endnote>
  <w:endnote w:type="continuationSeparator" w:id="0">
    <w:p w:rsidR="00000000" w:rsidRDefault="001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60" w:rsidRDefault="00E5736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0E08">
      <w:r>
        <w:separator/>
      </w:r>
    </w:p>
  </w:footnote>
  <w:footnote w:type="continuationSeparator" w:id="0">
    <w:p w:rsidR="00000000" w:rsidRDefault="0015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60" w:rsidRDefault="00E57360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7DB"/>
    <w:multiLevelType w:val="multilevel"/>
    <w:tmpl w:val="320A2B26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1">
    <w:nsid w:val="28BF5455"/>
    <w:multiLevelType w:val="multilevel"/>
    <w:tmpl w:val="024A25FA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2">
    <w:nsid w:val="2F697DCD"/>
    <w:multiLevelType w:val="multilevel"/>
    <w:tmpl w:val="C6C623F2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3">
    <w:nsid w:val="365A60B4"/>
    <w:multiLevelType w:val="multilevel"/>
    <w:tmpl w:val="4B9272B4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4">
    <w:nsid w:val="4EAF4E46"/>
    <w:multiLevelType w:val="multilevel"/>
    <w:tmpl w:val="44FA7AFA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5">
    <w:nsid w:val="5344291B"/>
    <w:multiLevelType w:val="multilevel"/>
    <w:tmpl w:val="4E2EB94E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6">
    <w:nsid w:val="59031C1B"/>
    <w:multiLevelType w:val="multilevel"/>
    <w:tmpl w:val="BB543372"/>
    <w:styleLink w:val="Dash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7">
    <w:nsid w:val="600570FB"/>
    <w:multiLevelType w:val="multilevel"/>
    <w:tmpl w:val="19C4D0BA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8">
    <w:nsid w:val="62B4506D"/>
    <w:multiLevelType w:val="multilevel"/>
    <w:tmpl w:val="6BDC713E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abstractNum w:abstractNumId="9">
    <w:nsid w:val="72E16BD2"/>
    <w:multiLevelType w:val="multilevel"/>
    <w:tmpl w:val="470C009C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4"/>
        <w:szCs w:val="24"/>
        <w:u w:val="none"/>
        <w:vertAlign w:val="baseline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7360"/>
    <w:rsid w:val="00150E08"/>
    <w:rsid w:val="00E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Dash">
    <w:name w:val="Dash"/>
    <w:pPr>
      <w:numPr>
        <w:numId w:val="10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Dash">
    <w:name w:val="Dash"/>
    <w:pPr>
      <w:numPr>
        <w:numId w:val="10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@manches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Blythin</dc:creator>
  <cp:lastModifiedBy>Laura Hardman</cp:lastModifiedBy>
  <cp:revision>2</cp:revision>
  <dcterms:created xsi:type="dcterms:W3CDTF">2015-05-06T11:54:00Z</dcterms:created>
  <dcterms:modified xsi:type="dcterms:W3CDTF">2015-05-06T11:54:00Z</dcterms:modified>
</cp:coreProperties>
</file>