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2A3" w:rsidRDefault="00A73341" w:rsidP="00A73341">
      <w:pPr>
        <w:pStyle w:val="Heading2"/>
      </w:pPr>
      <w:bookmarkStart w:id="0" w:name="_GoBack"/>
      <w:bookmarkEnd w:id="0"/>
      <w:r>
        <w:t>Month end accruals and deferrals</w:t>
      </w:r>
    </w:p>
    <w:p w:rsidR="00A73341" w:rsidRDefault="00A73341" w:rsidP="00A73341">
      <w:pPr>
        <w:pStyle w:val="Heading2"/>
      </w:pPr>
      <w:r>
        <w:t>Jill Roberts, Financial Controller</w:t>
      </w:r>
    </w:p>
    <w:p w:rsidR="00A73341" w:rsidRDefault="00AA123F" w:rsidP="00A73341">
      <w:pPr>
        <w:pStyle w:val="Heading2"/>
      </w:pPr>
      <w:r>
        <w:t>June 2015</w:t>
      </w:r>
    </w:p>
    <w:p w:rsidR="00A73341" w:rsidRDefault="00A73341"/>
    <w:p w:rsidR="00A73341" w:rsidRDefault="00A73341" w:rsidP="00A73341">
      <w:pPr>
        <w:rPr>
          <w:rStyle w:val="IntenseEmphasis"/>
        </w:rPr>
      </w:pPr>
      <w:r>
        <w:rPr>
          <w:rStyle w:val="IntenseEmphasis"/>
        </w:rPr>
        <w:t>Purpose of the document</w:t>
      </w:r>
    </w:p>
    <w:p w:rsidR="00A73341" w:rsidRDefault="00A73341" w:rsidP="00A73341">
      <w:pPr>
        <w:pStyle w:val="NoSpacing"/>
        <w:rPr>
          <w:rStyle w:val="IntenseEmphasis"/>
          <w:b w:val="0"/>
          <w:bCs w:val="0"/>
          <w:i w:val="0"/>
          <w:iCs w:val="0"/>
          <w:color w:val="auto"/>
        </w:rPr>
      </w:pPr>
      <w:r w:rsidRPr="00A73341">
        <w:rPr>
          <w:rStyle w:val="IntenseEmphasis"/>
          <w:b w:val="0"/>
          <w:bCs w:val="0"/>
          <w:i w:val="0"/>
          <w:iCs w:val="0"/>
          <w:color w:val="auto"/>
        </w:rPr>
        <w:t>This document</w:t>
      </w:r>
      <w:r>
        <w:rPr>
          <w:rStyle w:val="IntenseEmphasis"/>
          <w:b w:val="0"/>
          <w:bCs w:val="0"/>
          <w:i w:val="0"/>
          <w:iCs w:val="0"/>
          <w:color w:val="auto"/>
        </w:rPr>
        <w:t xml:space="preserve"> is intended to outline best practice as expected at the University of Manchester for posting accruals and deferrals.  As these are large values in the balance sheet and also represent a high volume of transactions, it is important that they are recorded accurately and efficiently.</w:t>
      </w:r>
      <w:r w:rsidR="00627717">
        <w:rPr>
          <w:rStyle w:val="IntenseEmphasis"/>
          <w:b w:val="0"/>
          <w:bCs w:val="0"/>
          <w:i w:val="0"/>
          <w:iCs w:val="0"/>
          <w:color w:val="auto"/>
        </w:rPr>
        <w:t xml:space="preserve">  The new SORP has also added additional categories for analysis.</w:t>
      </w:r>
    </w:p>
    <w:p w:rsidR="00AA123F" w:rsidRDefault="00AA123F" w:rsidP="00A73341">
      <w:pPr>
        <w:pStyle w:val="NoSpacing"/>
        <w:rPr>
          <w:rStyle w:val="IntenseEmphasis"/>
          <w:b w:val="0"/>
          <w:bCs w:val="0"/>
          <w:i w:val="0"/>
          <w:iCs w:val="0"/>
          <w:color w:val="auto"/>
        </w:rPr>
      </w:pPr>
    </w:p>
    <w:p w:rsidR="00AA123F" w:rsidRPr="00AA123F" w:rsidRDefault="00AA123F" w:rsidP="00A73341">
      <w:pPr>
        <w:pStyle w:val="NoSpacing"/>
        <w:rPr>
          <w:rStyle w:val="IntenseEmphasis"/>
        </w:rPr>
      </w:pPr>
      <w:r w:rsidRPr="00AA123F">
        <w:rPr>
          <w:rStyle w:val="IntenseEmphasis"/>
        </w:rPr>
        <w:t>Mechanics of posting the accruals and deferrals</w:t>
      </w:r>
    </w:p>
    <w:p w:rsidR="00A73341" w:rsidRDefault="00A73341" w:rsidP="00A73341">
      <w:pPr>
        <w:pStyle w:val="NoSpacing"/>
        <w:rPr>
          <w:rStyle w:val="IntenseEmphasis"/>
          <w:b w:val="0"/>
          <w:bCs w:val="0"/>
          <w:i w:val="0"/>
          <w:iCs w:val="0"/>
          <w:color w:val="auto"/>
        </w:rPr>
      </w:pPr>
    </w:p>
    <w:p w:rsidR="00AA123F" w:rsidRPr="00AA123F" w:rsidRDefault="00AA123F" w:rsidP="00AA123F">
      <w:pPr>
        <w:pStyle w:val="NoSpacing"/>
      </w:pPr>
      <w:r w:rsidRPr="00AA123F">
        <w:t>Starting in August 2015, accruals journals will be reversed automatically by the system, not reversed manually by users</w:t>
      </w:r>
      <w:r>
        <w:t xml:space="preserve">   </w:t>
      </w:r>
      <w:proofErr w:type="spellStart"/>
      <w:r w:rsidRPr="00AA123F">
        <w:t>Users</w:t>
      </w:r>
      <w:proofErr w:type="spellEnd"/>
      <w:r w:rsidRPr="00AA123F">
        <w:t xml:space="preserve"> will select ‘Accrual’ as the category required and the period into which it is to be reversed when they post the original journal</w:t>
      </w:r>
      <w:r>
        <w:t xml:space="preserve">.    </w:t>
      </w:r>
      <w:r w:rsidRPr="00AA123F">
        <w:rPr>
          <w:lang w:val="en-US"/>
        </w:rPr>
        <w:t>Ensure that you select ‘Accrual’ as the category, and select the period for the reversal to take place from th</w:t>
      </w:r>
      <w:r>
        <w:rPr>
          <w:lang w:val="en-US"/>
        </w:rPr>
        <w:t xml:space="preserve">e right hand side of the screen (core screen).  </w:t>
      </w:r>
    </w:p>
    <w:p w:rsidR="00AA123F" w:rsidRDefault="00AA123F" w:rsidP="00AA123F">
      <w:pPr>
        <w:pStyle w:val="NoSpacing"/>
        <w:rPr>
          <w:lang w:val="en-US"/>
        </w:rPr>
      </w:pPr>
    </w:p>
    <w:p w:rsidR="00AA123F" w:rsidRDefault="00AA123F" w:rsidP="00AA123F">
      <w:pPr>
        <w:pStyle w:val="NoSpacing"/>
        <w:rPr>
          <w:lang w:val="en-US"/>
        </w:rPr>
      </w:pPr>
      <w:r>
        <w:rPr>
          <w:lang w:val="en-US"/>
        </w:rPr>
        <w:t>These fields are also available in the header area of the WEB ADI upload template, as follows:</w:t>
      </w:r>
    </w:p>
    <w:p w:rsidR="00AA123F" w:rsidRDefault="00AA123F" w:rsidP="00AA123F">
      <w:pPr>
        <w:pStyle w:val="NoSpacing"/>
        <w:rPr>
          <w:lang w:val="en-US"/>
        </w:rPr>
      </w:pPr>
    </w:p>
    <w:p w:rsidR="00AA123F" w:rsidRDefault="00AA123F" w:rsidP="00AA123F">
      <w:pPr>
        <w:pStyle w:val="NoSpacing"/>
        <w:jc w:val="center"/>
        <w:rPr>
          <w:lang w:val="en-US"/>
        </w:rPr>
      </w:pPr>
      <w:r w:rsidRPr="00AA123F">
        <w:rPr>
          <w:lang w:val="en-US"/>
        </w:rPr>
        <w:drawing>
          <wp:inline distT="0" distB="0" distL="0" distR="0">
            <wp:extent cx="4324350" cy="1352550"/>
            <wp:effectExtent l="19050" t="0" r="0" b="0"/>
            <wp:docPr id="9"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40960" cy="3024336"/>
                      <a:chOff x="179512" y="1700808"/>
                      <a:chExt cx="8640960" cy="3024336"/>
                    </a:xfrm>
                  </a:grpSpPr>
                  <a:sp>
                    <a:nvSpPr>
                      <a:cNvPr id="3" name="Content Placeholder 2"/>
                      <a:cNvSpPr>
                        <a:spLocks noGrp="1"/>
                      </a:cNvSpPr>
                    </a:nvSpPr>
                    <a:spPr>
                      <a:xfrm>
                        <a:off x="4283968" y="1700808"/>
                        <a:ext cx="4536504" cy="3024336"/>
                      </a:xfrm>
                      <a:prstGeom prst="rect">
                        <a:avLst/>
                      </a:prstGeom>
                    </a:spPr>
                    <a:txSp>
                      <a:txBody>
                        <a:bodyPr vert="horz" lIns="91440" tIns="45720" rIns="91440" bIns="45720" rtlCol="0">
                          <a:noAutofit/>
                        </a:bodyPr>
                        <a:lstStyle>
                          <a:lvl1pPr marL="342900" indent="-342900" algn="l" defTabSz="914400" rtl="0" eaLnBrk="1" latinLnBrk="0" hangingPunct="1">
                            <a:spcBef>
                              <a:spcPct val="20000"/>
                            </a:spcBef>
                            <a:buFont typeface="Arial" pitchFamily="34" charset="0"/>
                            <a:buChar char="•"/>
                            <a:defRPr sz="3200" kern="1200">
                              <a:solidFill>
                                <a:schemeClr val="tx1"/>
                              </a:solidFill>
                              <a:latin typeface="+mn-lt"/>
                              <a:ea typeface="+mn-ea"/>
                              <a:cs typeface="+mn-cs"/>
                            </a:defRPr>
                          </a:lvl1pPr>
                          <a:lvl2pPr marL="742950" indent="-285750" algn="l" defTabSz="914400" rtl="0" eaLnBrk="1" latinLnBrk="0" hangingPunct="1">
                            <a:spcBef>
                              <a:spcPct val="20000"/>
                            </a:spcBef>
                            <a:buFont typeface="Arial" pitchFamily="34" charset="0"/>
                            <a:buChar char="–"/>
                            <a:defRPr sz="2800" kern="1200">
                              <a:solidFill>
                                <a:schemeClr val="tx1"/>
                              </a:solidFill>
                              <a:latin typeface="+mn-lt"/>
                              <a:ea typeface="+mn-ea"/>
                              <a:cs typeface="+mn-cs"/>
                            </a:defRPr>
                          </a:lvl2pPr>
                          <a:lvl3pPr marL="1143000" indent="-228600" algn="l" defTabSz="914400" rtl="0" eaLnBrk="1" latinLnBrk="0" hangingPunct="1">
                            <a:spcBef>
                              <a:spcPct val="20000"/>
                            </a:spcBef>
                            <a:buFont typeface="Arial" pitchFamily="34" charset="0"/>
                            <a:buChar char="•"/>
                            <a:defRPr sz="2400" kern="1200">
                              <a:solidFill>
                                <a:schemeClr val="tx1"/>
                              </a:solidFill>
                              <a:latin typeface="+mn-lt"/>
                              <a:ea typeface="+mn-ea"/>
                              <a:cs typeface="+mn-cs"/>
                            </a:defRPr>
                          </a:lvl3pPr>
                          <a:lvl4pPr marL="16002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4pPr>
                          <a:lvl5pPr marL="20574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5pPr>
                          <a:lvl6pPr marL="25146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6pPr>
                          <a:lvl7pPr marL="29718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7pPr>
                          <a:lvl8pPr marL="34290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8pPr>
                          <a:lvl9pPr marL="38862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9pPr>
                        </a:lstStyle>
                        <a:p>
                          <a:pPr>
                            <a:buNone/>
                          </a:pPr>
                          <a:r>
                            <a:rPr lang="en-US" sz="2400" dirty="0"/>
                            <a:t>On the header information on the </a:t>
                          </a:r>
                          <a:r>
                            <a:rPr lang="en-US" sz="2400" dirty="0" err="1"/>
                            <a:t>WebADI</a:t>
                          </a:r>
                          <a:r>
                            <a:rPr lang="en-US" sz="2400" dirty="0"/>
                            <a:t> template</a:t>
                          </a:r>
                          <a:endParaRPr lang="en-GB" sz="2400" dirty="0"/>
                        </a:p>
                        <a:p>
                          <a:pPr lvl="0"/>
                          <a:r>
                            <a:rPr lang="en-US" sz="2400" dirty="0"/>
                            <a:t>Select category – Accrual</a:t>
                          </a:r>
                          <a:endParaRPr lang="en-GB" sz="2400" dirty="0"/>
                        </a:p>
                        <a:p>
                          <a:pPr lvl="0"/>
                          <a:r>
                            <a:rPr lang="en-US" sz="2400" dirty="0"/>
                            <a:t>Reverse journal – Yes</a:t>
                          </a:r>
                          <a:endParaRPr lang="en-GB" sz="2400" dirty="0"/>
                        </a:p>
                        <a:p>
                          <a:pPr lvl="0"/>
                          <a:r>
                            <a:rPr lang="en-US" sz="2400" dirty="0"/>
                            <a:t>Reverse Period/Date – select the accounting period that you want the journal to reverse into (i.e. the next accounting period</a:t>
                          </a:r>
                          <a:r>
                            <a:rPr lang="en-US" sz="2400" dirty="0" smtClean="0"/>
                            <a:t>)</a:t>
                          </a:r>
                        </a:p>
                      </a:txBody>
                      <a:useSpRect/>
                    </a:txSp>
                  </a:sp>
                  <a:pic>
                    <a:nvPicPr>
                      <a:cNvPr id="17410" name="Picture 2" descr="cid:image005.png@01D09D70.2E9CF280"/>
                      <a:cNvPicPr>
                        <a:picLocks noChangeAspect="1" noChangeArrowheads="1"/>
                      </a:cNvPicPr>
                    </a:nvPicPr>
                    <a:blipFill>
                      <a:blip r:embed="rId5" r:link="rId6" cstate="print"/>
                      <a:srcRect/>
                      <a:stretch>
                        <a:fillRect/>
                      </a:stretch>
                    </a:blipFill>
                    <a:spPr bwMode="auto">
                      <a:xfrm>
                        <a:off x="179512" y="1844824"/>
                        <a:ext cx="3445878" cy="2232248"/>
                      </a:xfrm>
                      <a:prstGeom prst="rect">
                        <a:avLst/>
                      </a:prstGeom>
                      <a:noFill/>
                      <a:ln w="9525">
                        <a:noFill/>
                        <a:miter lim="800000"/>
                        <a:headEnd/>
                        <a:tailEnd/>
                      </a:ln>
                    </a:spPr>
                  </a:pic>
                  <a:cxnSp>
                    <a:nvCxnSpPr>
                      <a:cNvPr id="13" name="Straight Arrow Connector 12"/>
                      <a:cNvCxnSpPr/>
                    </a:nvCxnSpPr>
                    <a:spPr>
                      <a:xfrm flipH="1" flipV="1">
                        <a:off x="3347864" y="2204864"/>
                        <a:ext cx="936104" cy="50405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stCxn id="3" idx="1"/>
                      </a:cNvCxnSpPr>
                    </a:nvCxnSpPr>
                    <a:spPr>
                      <a:xfrm flipH="1">
                        <a:off x="3275856" y="3212976"/>
                        <a:ext cx="1008112" cy="50405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nvCxnSpPr>
                    <a:spPr>
                      <a:xfrm flipH="1">
                        <a:off x="3563888" y="3645024"/>
                        <a:ext cx="720080" cy="28803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AA123F" w:rsidRDefault="00AA123F" w:rsidP="00AA123F">
      <w:pPr>
        <w:pStyle w:val="NoSpacing"/>
        <w:rPr>
          <w:lang w:val="en-US"/>
        </w:rPr>
      </w:pPr>
    </w:p>
    <w:p w:rsidR="00AA123F" w:rsidRPr="00AA123F" w:rsidRDefault="00AA123F" w:rsidP="00AA123F">
      <w:pPr>
        <w:pStyle w:val="NoSpacing"/>
      </w:pPr>
      <w:r w:rsidRPr="00AA123F">
        <w:rPr>
          <w:lang w:val="en-US"/>
        </w:rPr>
        <w:t>Post the journal as normal.  The reversing entry will be generated by the system overnight (or as soon as a period is opened if it is not yet open) automatically.  There is no need to manually reverse and post the journal.</w:t>
      </w:r>
      <w:r w:rsidRPr="00AA123F">
        <w:t xml:space="preserve"> </w:t>
      </w:r>
    </w:p>
    <w:p w:rsidR="00AA123F" w:rsidRDefault="00AA123F" w:rsidP="00A73341">
      <w:pPr>
        <w:pStyle w:val="NoSpacing"/>
        <w:rPr>
          <w:rStyle w:val="IntenseEmphasis"/>
          <w:b w:val="0"/>
          <w:bCs w:val="0"/>
          <w:i w:val="0"/>
          <w:iCs w:val="0"/>
          <w:color w:val="auto"/>
        </w:rPr>
      </w:pPr>
    </w:p>
    <w:p w:rsidR="00A73341" w:rsidRDefault="00A73341" w:rsidP="00A73341">
      <w:pPr>
        <w:rPr>
          <w:rStyle w:val="IntenseEmphasis"/>
        </w:rPr>
      </w:pPr>
      <w:r>
        <w:rPr>
          <w:rStyle w:val="IntenseEmphasis"/>
        </w:rPr>
        <w:t>Finance codes in use (‘IE Codes’)</w:t>
      </w:r>
    </w:p>
    <w:p w:rsidR="00A73341" w:rsidRDefault="00A73341" w:rsidP="00A73341">
      <w:pPr>
        <w:pStyle w:val="NoSpacing"/>
        <w:rPr>
          <w:rStyle w:val="IntenseEmphasis"/>
          <w:b w:val="0"/>
          <w:bCs w:val="0"/>
          <w:i w:val="0"/>
          <w:iCs w:val="0"/>
          <w:color w:val="auto"/>
        </w:rPr>
      </w:pPr>
      <w:r w:rsidRPr="00A73341">
        <w:rPr>
          <w:rStyle w:val="IntenseEmphasis"/>
          <w:b w:val="0"/>
          <w:bCs w:val="0"/>
          <w:i w:val="0"/>
          <w:iCs w:val="0"/>
          <w:color w:val="auto"/>
        </w:rPr>
        <w:t xml:space="preserve">In </w:t>
      </w:r>
      <w:r>
        <w:rPr>
          <w:rStyle w:val="IntenseEmphasis"/>
          <w:b w:val="0"/>
          <w:bCs w:val="0"/>
          <w:i w:val="0"/>
          <w:iCs w:val="0"/>
          <w:color w:val="auto"/>
        </w:rPr>
        <w:t>order to obtain the correctly level of detail for analysis, and to ensure that the appropriate people have been asked to do commentary, it has been decided t</w:t>
      </w:r>
      <w:r w:rsidR="00AA123F">
        <w:rPr>
          <w:rStyle w:val="IntenseEmphasis"/>
          <w:b w:val="0"/>
          <w:bCs w:val="0"/>
          <w:i w:val="0"/>
          <w:iCs w:val="0"/>
          <w:color w:val="auto"/>
        </w:rPr>
        <w:t xml:space="preserve">o expand the range of IE codes </w:t>
      </w:r>
      <w:r>
        <w:rPr>
          <w:rStyle w:val="IntenseEmphasis"/>
          <w:b w:val="0"/>
          <w:bCs w:val="0"/>
          <w:i w:val="0"/>
          <w:iCs w:val="0"/>
          <w:color w:val="auto"/>
        </w:rPr>
        <w:t>as follows:</w:t>
      </w:r>
    </w:p>
    <w:p w:rsidR="00627717" w:rsidRDefault="00627717" w:rsidP="00A73341">
      <w:pPr>
        <w:pStyle w:val="NoSpacing"/>
        <w:rPr>
          <w:rStyle w:val="IntenseEmphasis"/>
          <w:b w:val="0"/>
          <w:bCs w:val="0"/>
          <w:i w:val="0"/>
          <w:iCs w:val="0"/>
          <w:color w:val="auto"/>
        </w:rPr>
      </w:pPr>
    </w:p>
    <w:p w:rsidR="00AA123F" w:rsidRDefault="00AA123F">
      <w:pPr>
        <w:rPr>
          <w:rStyle w:val="IntenseEmphasis"/>
          <w:b w:val="0"/>
          <w:bCs w:val="0"/>
          <w:i w:val="0"/>
          <w:iCs w:val="0"/>
          <w:color w:val="auto"/>
          <w:u w:val="single"/>
        </w:rPr>
      </w:pPr>
      <w:r>
        <w:rPr>
          <w:rStyle w:val="IntenseEmphasis"/>
          <w:b w:val="0"/>
          <w:bCs w:val="0"/>
          <w:i w:val="0"/>
          <w:iCs w:val="0"/>
          <w:color w:val="auto"/>
          <w:u w:val="single"/>
        </w:rPr>
        <w:br w:type="page"/>
      </w:r>
    </w:p>
    <w:p w:rsidR="00627717" w:rsidRPr="00627717" w:rsidRDefault="00627717" w:rsidP="00A73341">
      <w:pPr>
        <w:pStyle w:val="NoSpacing"/>
        <w:rPr>
          <w:rStyle w:val="IntenseEmphasis"/>
          <w:b w:val="0"/>
          <w:bCs w:val="0"/>
          <w:i w:val="0"/>
          <w:iCs w:val="0"/>
          <w:color w:val="auto"/>
          <w:u w:val="single"/>
        </w:rPr>
      </w:pPr>
      <w:r w:rsidRPr="00627717">
        <w:rPr>
          <w:rStyle w:val="IntenseEmphasis"/>
          <w:b w:val="0"/>
          <w:bCs w:val="0"/>
          <w:i w:val="0"/>
          <w:iCs w:val="0"/>
          <w:color w:val="auto"/>
          <w:u w:val="single"/>
        </w:rPr>
        <w:t>Accrued expenditure</w:t>
      </w:r>
    </w:p>
    <w:p w:rsidR="00A73341" w:rsidRDefault="00A73341" w:rsidP="00A73341">
      <w:pPr>
        <w:pStyle w:val="NoSpacing"/>
        <w:rPr>
          <w:rStyle w:val="IntenseEmphasis"/>
          <w:b w:val="0"/>
          <w:bCs w:val="0"/>
          <w:i w:val="0"/>
          <w:iCs w:val="0"/>
          <w:color w:val="auto"/>
        </w:rPr>
      </w:pPr>
    </w:p>
    <w:p w:rsidR="00A73341" w:rsidRDefault="00627717" w:rsidP="00A73341">
      <w:pPr>
        <w:pStyle w:val="NoSpacing"/>
        <w:rPr>
          <w:rStyle w:val="IntenseEmphasis"/>
          <w:b w:val="0"/>
          <w:bCs w:val="0"/>
          <w:i w:val="0"/>
          <w:iCs w:val="0"/>
          <w:color w:val="auto"/>
        </w:rPr>
      </w:pPr>
      <w:r w:rsidRPr="00627717">
        <w:rPr>
          <w:noProof/>
        </w:rPr>
        <w:drawing>
          <wp:inline distT="0" distB="0" distL="0" distR="0">
            <wp:extent cx="6573425" cy="1857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74379" cy="1857645"/>
                    </a:xfrm>
                    <a:prstGeom prst="rect">
                      <a:avLst/>
                    </a:prstGeom>
                    <a:noFill/>
                    <a:ln w="9525">
                      <a:noFill/>
                      <a:miter lim="800000"/>
                      <a:headEnd/>
                      <a:tailEnd/>
                    </a:ln>
                  </pic:spPr>
                </pic:pic>
              </a:graphicData>
            </a:graphic>
          </wp:inline>
        </w:drawing>
      </w:r>
    </w:p>
    <w:p w:rsidR="00627717" w:rsidRDefault="00627717" w:rsidP="00A73341">
      <w:pPr>
        <w:pStyle w:val="NoSpacing"/>
        <w:rPr>
          <w:rStyle w:val="IntenseEmphasis"/>
          <w:b w:val="0"/>
          <w:bCs w:val="0"/>
          <w:i w:val="0"/>
          <w:iCs w:val="0"/>
          <w:color w:val="auto"/>
        </w:rPr>
      </w:pPr>
    </w:p>
    <w:p w:rsidR="00627717" w:rsidRPr="00627717" w:rsidRDefault="00627717" w:rsidP="00627717">
      <w:pPr>
        <w:pStyle w:val="NoSpacing"/>
        <w:rPr>
          <w:rStyle w:val="IntenseEmphasis"/>
          <w:b w:val="0"/>
          <w:bCs w:val="0"/>
          <w:i w:val="0"/>
          <w:iCs w:val="0"/>
          <w:color w:val="auto"/>
          <w:u w:val="single"/>
        </w:rPr>
      </w:pPr>
      <w:r>
        <w:rPr>
          <w:rStyle w:val="IntenseEmphasis"/>
          <w:b w:val="0"/>
          <w:bCs w:val="0"/>
          <w:i w:val="0"/>
          <w:iCs w:val="0"/>
          <w:color w:val="auto"/>
          <w:u w:val="single"/>
        </w:rPr>
        <w:t>Deferred income</w:t>
      </w:r>
    </w:p>
    <w:p w:rsidR="00627717" w:rsidRDefault="00627717" w:rsidP="00A73341">
      <w:pPr>
        <w:pStyle w:val="NoSpacing"/>
        <w:rPr>
          <w:rStyle w:val="IntenseEmphasis"/>
          <w:b w:val="0"/>
          <w:bCs w:val="0"/>
          <w:i w:val="0"/>
          <w:iCs w:val="0"/>
          <w:color w:val="auto"/>
        </w:rPr>
      </w:pPr>
    </w:p>
    <w:p w:rsidR="00627717" w:rsidRDefault="00627717" w:rsidP="00A73341">
      <w:pPr>
        <w:pStyle w:val="NoSpacing"/>
        <w:rPr>
          <w:rStyle w:val="IntenseEmphasis"/>
          <w:b w:val="0"/>
          <w:bCs w:val="0"/>
          <w:i w:val="0"/>
          <w:iCs w:val="0"/>
          <w:color w:val="auto"/>
        </w:rPr>
      </w:pPr>
      <w:r w:rsidRPr="00627717">
        <w:rPr>
          <w:noProof/>
        </w:rPr>
        <w:drawing>
          <wp:inline distT="0" distB="0" distL="0" distR="0">
            <wp:extent cx="6480810" cy="27355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80810" cy="2735505"/>
                    </a:xfrm>
                    <a:prstGeom prst="rect">
                      <a:avLst/>
                    </a:prstGeom>
                    <a:noFill/>
                    <a:ln w="9525">
                      <a:noFill/>
                      <a:miter lim="800000"/>
                      <a:headEnd/>
                      <a:tailEnd/>
                    </a:ln>
                  </pic:spPr>
                </pic:pic>
              </a:graphicData>
            </a:graphic>
          </wp:inline>
        </w:drawing>
      </w:r>
    </w:p>
    <w:p w:rsidR="00627717" w:rsidRDefault="00627717" w:rsidP="00A73341">
      <w:pPr>
        <w:pStyle w:val="NoSpacing"/>
        <w:rPr>
          <w:rStyle w:val="IntenseEmphasis"/>
          <w:b w:val="0"/>
          <w:bCs w:val="0"/>
          <w:i w:val="0"/>
          <w:iCs w:val="0"/>
          <w:color w:val="auto"/>
        </w:rPr>
      </w:pPr>
      <w:r>
        <w:rPr>
          <w:rStyle w:val="IntenseEmphasis"/>
          <w:b w:val="0"/>
          <w:bCs w:val="0"/>
          <w:i w:val="0"/>
          <w:iCs w:val="0"/>
          <w:color w:val="auto"/>
        </w:rPr>
        <w:t>Prepayments</w:t>
      </w:r>
    </w:p>
    <w:p w:rsidR="00627717" w:rsidRDefault="00627717" w:rsidP="00A73341">
      <w:pPr>
        <w:pStyle w:val="NoSpacing"/>
        <w:rPr>
          <w:rStyle w:val="IntenseEmphasis"/>
          <w:b w:val="0"/>
          <w:bCs w:val="0"/>
          <w:i w:val="0"/>
          <w:iCs w:val="0"/>
          <w:color w:val="auto"/>
        </w:rPr>
      </w:pPr>
    </w:p>
    <w:p w:rsidR="001802CC" w:rsidRDefault="001802CC" w:rsidP="00A73341">
      <w:pPr>
        <w:pStyle w:val="NoSpacing"/>
        <w:rPr>
          <w:rStyle w:val="IntenseEmphasis"/>
          <w:b w:val="0"/>
          <w:bCs w:val="0"/>
          <w:i w:val="0"/>
          <w:iCs w:val="0"/>
          <w:color w:val="auto"/>
        </w:rPr>
      </w:pPr>
      <w:r w:rsidRPr="001802CC">
        <w:rPr>
          <w:noProof/>
        </w:rPr>
        <w:drawing>
          <wp:inline distT="0" distB="0" distL="0" distR="0">
            <wp:extent cx="6480810" cy="62547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80810" cy="625474"/>
                    </a:xfrm>
                    <a:prstGeom prst="rect">
                      <a:avLst/>
                    </a:prstGeom>
                    <a:noFill/>
                    <a:ln w="9525">
                      <a:noFill/>
                      <a:miter lim="800000"/>
                      <a:headEnd/>
                      <a:tailEnd/>
                    </a:ln>
                  </pic:spPr>
                </pic:pic>
              </a:graphicData>
            </a:graphic>
          </wp:inline>
        </w:drawing>
      </w:r>
    </w:p>
    <w:p w:rsidR="00627717" w:rsidRDefault="00627717" w:rsidP="00A73341">
      <w:pPr>
        <w:pStyle w:val="NoSpacing"/>
        <w:rPr>
          <w:rStyle w:val="IntenseEmphasis"/>
          <w:b w:val="0"/>
          <w:bCs w:val="0"/>
          <w:i w:val="0"/>
          <w:iCs w:val="0"/>
          <w:color w:val="auto"/>
        </w:rPr>
      </w:pPr>
    </w:p>
    <w:p w:rsidR="00AA123F" w:rsidRDefault="00AA123F">
      <w:pPr>
        <w:rPr>
          <w:rStyle w:val="IntenseEmphasis"/>
          <w:b w:val="0"/>
          <w:bCs w:val="0"/>
          <w:i w:val="0"/>
          <w:iCs w:val="0"/>
          <w:color w:val="auto"/>
        </w:rPr>
      </w:pPr>
      <w:r>
        <w:rPr>
          <w:rStyle w:val="IntenseEmphasis"/>
          <w:b w:val="0"/>
          <w:bCs w:val="0"/>
          <w:i w:val="0"/>
          <w:iCs w:val="0"/>
          <w:color w:val="auto"/>
        </w:rPr>
        <w:br w:type="page"/>
      </w:r>
    </w:p>
    <w:p w:rsidR="00627717" w:rsidRDefault="00DF3216" w:rsidP="00A73341">
      <w:pPr>
        <w:pStyle w:val="NoSpacing"/>
        <w:rPr>
          <w:rStyle w:val="IntenseEmphasis"/>
          <w:b w:val="0"/>
          <w:bCs w:val="0"/>
          <w:i w:val="0"/>
          <w:iCs w:val="0"/>
          <w:color w:val="auto"/>
        </w:rPr>
      </w:pPr>
      <w:r>
        <w:rPr>
          <w:rStyle w:val="IntenseEmphasis"/>
          <w:b w:val="0"/>
          <w:bCs w:val="0"/>
          <w:i w:val="0"/>
          <w:iCs w:val="0"/>
          <w:color w:val="auto"/>
        </w:rPr>
        <w:t>Accrued income</w:t>
      </w:r>
    </w:p>
    <w:p w:rsidR="00DF3216" w:rsidRDefault="00DF3216" w:rsidP="00A73341">
      <w:pPr>
        <w:pStyle w:val="NoSpacing"/>
        <w:rPr>
          <w:rStyle w:val="IntenseEmphasis"/>
          <w:b w:val="0"/>
          <w:bCs w:val="0"/>
          <w:i w:val="0"/>
          <w:iCs w:val="0"/>
          <w:color w:val="auto"/>
        </w:rPr>
      </w:pPr>
    </w:p>
    <w:p w:rsidR="00DF3216" w:rsidRDefault="00B82A38" w:rsidP="00A73341">
      <w:pPr>
        <w:pStyle w:val="NoSpacing"/>
        <w:rPr>
          <w:rStyle w:val="IntenseEmphasis"/>
          <w:b w:val="0"/>
          <w:bCs w:val="0"/>
          <w:i w:val="0"/>
          <w:iCs w:val="0"/>
          <w:color w:val="auto"/>
        </w:rPr>
      </w:pPr>
      <w:r w:rsidRPr="00B82A38">
        <w:rPr>
          <w:noProof/>
        </w:rPr>
        <w:drawing>
          <wp:inline distT="0" distB="0" distL="0" distR="0">
            <wp:extent cx="6480810" cy="201206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480810" cy="2012065"/>
                    </a:xfrm>
                    <a:prstGeom prst="rect">
                      <a:avLst/>
                    </a:prstGeom>
                    <a:noFill/>
                    <a:ln w="9525">
                      <a:noFill/>
                      <a:miter lim="800000"/>
                      <a:headEnd/>
                      <a:tailEnd/>
                    </a:ln>
                  </pic:spPr>
                </pic:pic>
              </a:graphicData>
            </a:graphic>
          </wp:inline>
        </w:drawing>
      </w:r>
    </w:p>
    <w:p w:rsidR="00DF3216" w:rsidRDefault="00DF3216" w:rsidP="00A73341">
      <w:pPr>
        <w:pStyle w:val="NoSpacing"/>
        <w:rPr>
          <w:rStyle w:val="IntenseEmphasis"/>
          <w:b w:val="0"/>
          <w:bCs w:val="0"/>
          <w:i w:val="0"/>
          <w:iCs w:val="0"/>
          <w:color w:val="auto"/>
        </w:rPr>
      </w:pPr>
    </w:p>
    <w:p w:rsidR="00DF3216" w:rsidRDefault="00DF3216" w:rsidP="00A73341">
      <w:pPr>
        <w:pStyle w:val="NoSpacing"/>
        <w:rPr>
          <w:rStyle w:val="IntenseEmphasis"/>
          <w:b w:val="0"/>
          <w:bCs w:val="0"/>
          <w:i w:val="0"/>
          <w:iCs w:val="0"/>
          <w:color w:val="auto"/>
        </w:rPr>
      </w:pPr>
      <w:r>
        <w:rPr>
          <w:rStyle w:val="IntenseEmphasis"/>
          <w:b w:val="0"/>
          <w:bCs w:val="0"/>
          <w:i w:val="0"/>
          <w:iCs w:val="0"/>
          <w:color w:val="auto"/>
        </w:rPr>
        <w:t>Research accrued and deferred income</w:t>
      </w:r>
    </w:p>
    <w:p w:rsidR="00DF3216" w:rsidRDefault="00DF3216" w:rsidP="00A73341">
      <w:pPr>
        <w:pStyle w:val="NoSpacing"/>
        <w:rPr>
          <w:rStyle w:val="IntenseEmphasis"/>
          <w:b w:val="0"/>
          <w:bCs w:val="0"/>
          <w:i w:val="0"/>
          <w:iCs w:val="0"/>
          <w:color w:val="auto"/>
        </w:rPr>
      </w:pPr>
    </w:p>
    <w:p w:rsidR="00DF3216" w:rsidRDefault="001802CC" w:rsidP="00A73341">
      <w:pPr>
        <w:pStyle w:val="NoSpacing"/>
        <w:rPr>
          <w:rStyle w:val="IntenseEmphasis"/>
          <w:b w:val="0"/>
          <w:bCs w:val="0"/>
          <w:i w:val="0"/>
          <w:iCs w:val="0"/>
          <w:color w:val="auto"/>
        </w:rPr>
      </w:pPr>
      <w:r w:rsidRPr="001802CC">
        <w:rPr>
          <w:noProof/>
        </w:rPr>
        <w:drawing>
          <wp:inline distT="0" distB="0" distL="0" distR="0">
            <wp:extent cx="6480810" cy="1529773"/>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6480810" cy="1529773"/>
                    </a:xfrm>
                    <a:prstGeom prst="rect">
                      <a:avLst/>
                    </a:prstGeom>
                    <a:noFill/>
                    <a:ln w="9525">
                      <a:noFill/>
                      <a:miter lim="800000"/>
                      <a:headEnd/>
                      <a:tailEnd/>
                    </a:ln>
                  </pic:spPr>
                </pic:pic>
              </a:graphicData>
            </a:graphic>
          </wp:inline>
        </w:drawing>
      </w:r>
    </w:p>
    <w:p w:rsidR="001802CC" w:rsidRDefault="001802CC" w:rsidP="00A73341">
      <w:pPr>
        <w:pStyle w:val="NoSpacing"/>
        <w:rPr>
          <w:rStyle w:val="IntenseEmphasis"/>
          <w:b w:val="0"/>
          <w:bCs w:val="0"/>
          <w:i w:val="0"/>
          <w:iCs w:val="0"/>
          <w:color w:val="auto"/>
        </w:rPr>
      </w:pPr>
    </w:p>
    <w:p w:rsidR="00091D9B" w:rsidRDefault="00091D9B" w:rsidP="00091D9B">
      <w:pPr>
        <w:pStyle w:val="NoSpacing"/>
        <w:rPr>
          <w:rStyle w:val="IntenseEmphasis"/>
          <w:b w:val="0"/>
          <w:bCs w:val="0"/>
          <w:i w:val="0"/>
          <w:iCs w:val="0"/>
          <w:color w:val="auto"/>
        </w:rPr>
      </w:pPr>
      <w:r>
        <w:rPr>
          <w:rStyle w:val="IntenseEmphasis"/>
        </w:rPr>
        <w:t>Timescales</w:t>
      </w:r>
    </w:p>
    <w:p w:rsidR="00091D9B" w:rsidRDefault="00091D9B" w:rsidP="00091D9B">
      <w:pPr>
        <w:pStyle w:val="NoSpacing"/>
        <w:rPr>
          <w:rStyle w:val="IntenseEmphasis"/>
          <w:b w:val="0"/>
          <w:bCs w:val="0"/>
          <w:i w:val="0"/>
          <w:iCs w:val="0"/>
          <w:color w:val="auto"/>
        </w:rPr>
      </w:pPr>
    </w:p>
    <w:p w:rsidR="00091D9B" w:rsidRPr="00A73341" w:rsidRDefault="00091D9B" w:rsidP="00091D9B">
      <w:pPr>
        <w:pStyle w:val="NoSpacing"/>
        <w:rPr>
          <w:rStyle w:val="IntenseEmphasis"/>
          <w:b w:val="0"/>
          <w:bCs w:val="0"/>
          <w:i w:val="0"/>
          <w:iCs w:val="0"/>
          <w:color w:val="auto"/>
        </w:rPr>
      </w:pPr>
      <w:r>
        <w:rPr>
          <w:rStyle w:val="IntenseEmphasis"/>
          <w:b w:val="0"/>
          <w:bCs w:val="0"/>
          <w:i w:val="0"/>
          <w:iCs w:val="0"/>
          <w:color w:val="auto"/>
        </w:rPr>
        <w:t>The new codes appearing in the above lists are available to</w:t>
      </w:r>
      <w:r w:rsidR="00B82A38">
        <w:rPr>
          <w:rStyle w:val="IntenseEmphasis"/>
          <w:b w:val="0"/>
          <w:bCs w:val="0"/>
          <w:i w:val="0"/>
          <w:iCs w:val="0"/>
          <w:color w:val="auto"/>
        </w:rPr>
        <w:t xml:space="preserve"> use on O</w:t>
      </w:r>
      <w:r w:rsidR="0017115F">
        <w:rPr>
          <w:rStyle w:val="IntenseEmphasis"/>
          <w:b w:val="0"/>
          <w:bCs w:val="0"/>
          <w:i w:val="0"/>
          <w:iCs w:val="0"/>
          <w:color w:val="auto"/>
        </w:rPr>
        <w:t>racle from January 2015</w:t>
      </w:r>
      <w:r>
        <w:rPr>
          <w:rStyle w:val="IntenseEmphasis"/>
          <w:b w:val="0"/>
          <w:bCs w:val="0"/>
          <w:i w:val="0"/>
          <w:iCs w:val="0"/>
          <w:color w:val="auto"/>
        </w:rPr>
        <w:t>.  Their use should be adopted from the month end Janua</w:t>
      </w:r>
      <w:r w:rsidR="0017115F">
        <w:rPr>
          <w:rStyle w:val="IntenseEmphasis"/>
          <w:b w:val="0"/>
          <w:bCs w:val="0"/>
          <w:i w:val="0"/>
          <w:iCs w:val="0"/>
          <w:color w:val="auto"/>
        </w:rPr>
        <w:t>ry 2015</w:t>
      </w:r>
      <w:r w:rsidR="00DF6EE2">
        <w:rPr>
          <w:rStyle w:val="IntenseEmphasis"/>
          <w:b w:val="0"/>
          <w:bCs w:val="0"/>
          <w:i w:val="0"/>
          <w:iCs w:val="0"/>
          <w:color w:val="auto"/>
        </w:rPr>
        <w:t>.</w:t>
      </w:r>
    </w:p>
    <w:p w:rsidR="001802CC" w:rsidRDefault="001802CC" w:rsidP="00A73341">
      <w:pPr>
        <w:pStyle w:val="NoSpacing"/>
        <w:rPr>
          <w:rStyle w:val="IntenseEmphasis"/>
          <w:b w:val="0"/>
          <w:bCs w:val="0"/>
          <w:i w:val="0"/>
          <w:iCs w:val="0"/>
          <w:color w:val="auto"/>
        </w:rPr>
      </w:pPr>
    </w:p>
    <w:p w:rsidR="001802CC" w:rsidRDefault="001802CC" w:rsidP="001802CC">
      <w:pPr>
        <w:rPr>
          <w:rStyle w:val="IntenseEmphasis"/>
        </w:rPr>
      </w:pPr>
      <w:r>
        <w:rPr>
          <w:rStyle w:val="IntenseEmphasis"/>
        </w:rPr>
        <w:t>Principles</w:t>
      </w:r>
    </w:p>
    <w:p w:rsidR="00F03326" w:rsidRPr="001802CC" w:rsidRDefault="00F03326" w:rsidP="00F03326">
      <w:pPr>
        <w:pStyle w:val="NoSpacing"/>
        <w:rPr>
          <w:rStyle w:val="IntenseEmphasis"/>
          <w:b w:val="0"/>
          <w:bCs w:val="0"/>
          <w:i w:val="0"/>
          <w:iCs w:val="0"/>
          <w:color w:val="auto"/>
          <w:u w:val="single"/>
        </w:rPr>
      </w:pPr>
      <w:r w:rsidRPr="001802CC">
        <w:rPr>
          <w:rStyle w:val="IntenseEmphasis"/>
          <w:b w:val="0"/>
          <w:bCs w:val="0"/>
          <w:i w:val="0"/>
          <w:iCs w:val="0"/>
          <w:color w:val="auto"/>
          <w:u w:val="single"/>
        </w:rPr>
        <w:t xml:space="preserve">Adjustments </w:t>
      </w:r>
      <w:r>
        <w:rPr>
          <w:rStyle w:val="IntenseEmphasis"/>
          <w:b w:val="0"/>
          <w:bCs w:val="0"/>
          <w:i w:val="0"/>
          <w:iCs w:val="0"/>
          <w:color w:val="auto"/>
          <w:u w:val="single"/>
        </w:rPr>
        <w:t>posting prepayments to capital codes</w:t>
      </w:r>
      <w:r w:rsidRPr="001802CC">
        <w:rPr>
          <w:rStyle w:val="IntenseEmphasis"/>
          <w:b w:val="0"/>
          <w:bCs w:val="0"/>
          <w:i w:val="0"/>
          <w:iCs w:val="0"/>
          <w:color w:val="auto"/>
          <w:u w:val="single"/>
        </w:rPr>
        <w:t>:</w:t>
      </w:r>
    </w:p>
    <w:p w:rsidR="00F03326" w:rsidRDefault="00F03326" w:rsidP="00F03326">
      <w:pPr>
        <w:pStyle w:val="NoSpacing"/>
        <w:rPr>
          <w:rStyle w:val="IntenseEmphasis"/>
          <w:b w:val="0"/>
          <w:bCs w:val="0"/>
          <w:i w:val="0"/>
          <w:iCs w:val="0"/>
          <w:color w:val="auto"/>
        </w:rPr>
      </w:pPr>
    </w:p>
    <w:p w:rsidR="00F03326" w:rsidRDefault="00F03326" w:rsidP="00F03326">
      <w:pPr>
        <w:pStyle w:val="NoSpacing"/>
        <w:rPr>
          <w:rStyle w:val="IntenseEmphasis"/>
          <w:b w:val="0"/>
          <w:bCs w:val="0"/>
          <w:i w:val="0"/>
          <w:iCs w:val="0"/>
          <w:color w:val="auto"/>
        </w:rPr>
      </w:pPr>
      <w:r>
        <w:rPr>
          <w:rStyle w:val="IntenseEmphasis"/>
          <w:b w:val="0"/>
          <w:bCs w:val="0"/>
          <w:i w:val="0"/>
          <w:iCs w:val="0"/>
          <w:color w:val="auto"/>
        </w:rPr>
        <w:t xml:space="preserve">These should </w:t>
      </w:r>
      <w:r w:rsidR="00CE2877">
        <w:rPr>
          <w:rStyle w:val="IntenseEmphasis"/>
          <w:b w:val="0"/>
          <w:bCs w:val="0"/>
          <w:i w:val="0"/>
          <w:iCs w:val="0"/>
          <w:color w:val="auto"/>
        </w:rPr>
        <w:t xml:space="preserve">be posted </w:t>
      </w:r>
      <w:proofErr w:type="gramStart"/>
      <w:r w:rsidR="00CE2877">
        <w:rPr>
          <w:rStyle w:val="IntenseEmphasis"/>
          <w:b w:val="0"/>
          <w:bCs w:val="0"/>
          <w:i w:val="0"/>
          <w:iCs w:val="0"/>
          <w:color w:val="auto"/>
        </w:rPr>
        <w:t>an</w:t>
      </w:r>
      <w:proofErr w:type="gramEnd"/>
      <w:r w:rsidR="00CE2877">
        <w:rPr>
          <w:rStyle w:val="IntenseEmphasis"/>
          <w:b w:val="0"/>
          <w:bCs w:val="0"/>
          <w:i w:val="0"/>
          <w:iCs w:val="0"/>
          <w:color w:val="auto"/>
        </w:rPr>
        <w:t xml:space="preserve"> reversed monthly as any other accounting adjustment</w:t>
      </w:r>
    </w:p>
    <w:p w:rsidR="00F03326" w:rsidRDefault="00F03326" w:rsidP="00F03326">
      <w:pPr>
        <w:pStyle w:val="NoSpacing"/>
        <w:rPr>
          <w:rStyle w:val="IntenseEmphasis"/>
          <w:b w:val="0"/>
          <w:bCs w:val="0"/>
          <w:i w:val="0"/>
          <w:iCs w:val="0"/>
          <w:color w:val="auto"/>
        </w:rPr>
      </w:pPr>
    </w:p>
    <w:p w:rsidR="00F03326" w:rsidRDefault="00CE2877" w:rsidP="00F03326">
      <w:pPr>
        <w:pStyle w:val="NoSpacing"/>
        <w:rPr>
          <w:rStyle w:val="IntenseEmphasis"/>
          <w:b w:val="0"/>
          <w:bCs w:val="0"/>
          <w:i w:val="0"/>
          <w:iCs w:val="0"/>
          <w:color w:val="auto"/>
        </w:rPr>
      </w:pPr>
      <w:r>
        <w:rPr>
          <w:rStyle w:val="IntenseEmphasis"/>
          <w:b w:val="0"/>
          <w:bCs w:val="0"/>
          <w:i w:val="0"/>
          <w:iCs w:val="0"/>
          <w:color w:val="auto"/>
        </w:rPr>
        <w:t>Capital IE codes (e.g. 9012</w:t>
      </w:r>
      <w:r w:rsidR="00F03326">
        <w:rPr>
          <w:rStyle w:val="IntenseEmphasis"/>
          <w:b w:val="0"/>
          <w:bCs w:val="0"/>
          <w:i w:val="0"/>
          <w:iCs w:val="0"/>
          <w:color w:val="auto"/>
        </w:rPr>
        <w:t>)</w:t>
      </w:r>
    </w:p>
    <w:p w:rsidR="00F03326" w:rsidRDefault="00F03326" w:rsidP="00F03326">
      <w:pPr>
        <w:pStyle w:val="NoSpacing"/>
        <w:rPr>
          <w:rStyle w:val="IntenseEmphasis"/>
          <w:b w:val="0"/>
          <w:bCs w:val="0"/>
          <w:i w:val="0"/>
          <w:iCs w:val="0"/>
          <w:color w:val="auto"/>
        </w:rPr>
      </w:pPr>
      <w:r>
        <w:rPr>
          <w:rStyle w:val="IntenseEmphasis"/>
          <w:b w:val="0"/>
          <w:bCs w:val="0"/>
          <w:i w:val="0"/>
          <w:iCs w:val="0"/>
          <w:color w:val="auto"/>
        </w:rPr>
        <w:t>9367</w:t>
      </w:r>
      <w:r>
        <w:rPr>
          <w:rStyle w:val="IntenseEmphasis"/>
          <w:b w:val="0"/>
          <w:bCs w:val="0"/>
          <w:i w:val="0"/>
          <w:iCs w:val="0"/>
          <w:color w:val="auto"/>
        </w:rPr>
        <w:tab/>
        <w:t>Prepayment relating to capital items</w:t>
      </w:r>
    </w:p>
    <w:p w:rsidR="006E3B1E" w:rsidRDefault="006E3B1E" w:rsidP="00F03326">
      <w:pPr>
        <w:pStyle w:val="NoSpacing"/>
        <w:rPr>
          <w:rStyle w:val="IntenseEmphasis"/>
          <w:b w:val="0"/>
          <w:bCs w:val="0"/>
          <w:i w:val="0"/>
          <w:iCs w:val="0"/>
          <w:color w:val="auto"/>
        </w:rPr>
      </w:pPr>
    </w:p>
    <w:p w:rsidR="006E3B1E" w:rsidRDefault="006E3B1E" w:rsidP="006E3B1E">
      <w:r>
        <w:t>In order to ensure that we can track all capital postings back to the source order, business case and correctly populate the asset register etc., all journals between capital codes should be done on an asset by asset basis (not as a block amount), using a standard narrative and include the following information:</w:t>
      </w:r>
    </w:p>
    <w:p w:rsidR="00CE2877" w:rsidRDefault="006E3B1E" w:rsidP="006E3B1E">
      <w:pPr>
        <w:pStyle w:val="ListParagraph"/>
        <w:numPr>
          <w:ilvl w:val="0"/>
          <w:numId w:val="1"/>
        </w:numPr>
        <w:rPr>
          <w:rFonts w:ascii="Arial" w:hAnsi="Arial" w:cs="Arial"/>
          <w:sz w:val="20"/>
          <w:szCs w:val="20"/>
        </w:rPr>
      </w:pPr>
      <w:r>
        <w:rPr>
          <w:rFonts w:ascii="Arial" w:hAnsi="Arial" w:cs="Arial"/>
          <w:sz w:val="20"/>
          <w:szCs w:val="20"/>
        </w:rPr>
        <w:t>PO  number</w:t>
      </w:r>
      <w:r w:rsidR="00CE2877">
        <w:rPr>
          <w:rFonts w:ascii="Arial" w:hAnsi="Arial" w:cs="Arial"/>
          <w:sz w:val="20"/>
          <w:szCs w:val="20"/>
        </w:rPr>
        <w:t xml:space="preserve"> </w:t>
      </w:r>
    </w:p>
    <w:p w:rsidR="006E3B1E" w:rsidRDefault="00A10327" w:rsidP="006E3B1E">
      <w:pPr>
        <w:pStyle w:val="ListParagraph"/>
        <w:numPr>
          <w:ilvl w:val="0"/>
          <w:numId w:val="1"/>
        </w:numPr>
        <w:rPr>
          <w:rFonts w:ascii="Arial" w:hAnsi="Arial" w:cs="Arial"/>
          <w:sz w:val="20"/>
          <w:szCs w:val="20"/>
        </w:rPr>
      </w:pPr>
      <w:r>
        <w:rPr>
          <w:rFonts w:ascii="Arial" w:hAnsi="Arial" w:cs="Arial"/>
          <w:sz w:val="20"/>
          <w:szCs w:val="20"/>
        </w:rPr>
        <w:t>AP Voucher number</w:t>
      </w:r>
      <w:r w:rsidR="00CE2877">
        <w:rPr>
          <w:rFonts w:ascii="Arial" w:hAnsi="Arial" w:cs="Arial"/>
          <w:sz w:val="20"/>
          <w:szCs w:val="20"/>
        </w:rPr>
        <w:t xml:space="preserve"> (if known)</w:t>
      </w:r>
    </w:p>
    <w:p w:rsidR="006E3B1E" w:rsidRDefault="006E3B1E" w:rsidP="006E3B1E">
      <w:pPr>
        <w:pStyle w:val="ListParagraph"/>
        <w:numPr>
          <w:ilvl w:val="0"/>
          <w:numId w:val="1"/>
        </w:numPr>
        <w:rPr>
          <w:rFonts w:ascii="Arial" w:hAnsi="Arial" w:cs="Arial"/>
          <w:sz w:val="20"/>
          <w:szCs w:val="20"/>
        </w:rPr>
      </w:pPr>
      <w:r>
        <w:rPr>
          <w:rFonts w:ascii="Arial" w:hAnsi="Arial" w:cs="Arial"/>
          <w:sz w:val="20"/>
          <w:szCs w:val="20"/>
        </w:rPr>
        <w:t>Description of asset</w:t>
      </w:r>
    </w:p>
    <w:p w:rsidR="006E3B1E" w:rsidRDefault="006E3B1E" w:rsidP="006E3B1E">
      <w:pPr>
        <w:rPr>
          <w:rFonts w:ascii="Arial" w:hAnsi="Arial" w:cs="Arial"/>
          <w:sz w:val="20"/>
          <w:szCs w:val="20"/>
        </w:rPr>
      </w:pPr>
      <w:r>
        <w:rPr>
          <w:rFonts w:ascii="Arial" w:hAnsi="Arial" w:cs="Arial"/>
          <w:sz w:val="20"/>
          <w:szCs w:val="20"/>
        </w:rPr>
        <w:t xml:space="preserve">For </w:t>
      </w:r>
      <w:proofErr w:type="gramStart"/>
      <w:r>
        <w:rPr>
          <w:rFonts w:ascii="Arial" w:hAnsi="Arial" w:cs="Arial"/>
          <w:sz w:val="20"/>
          <w:szCs w:val="20"/>
        </w:rPr>
        <w:t>example :</w:t>
      </w:r>
      <w:proofErr w:type="gramEnd"/>
      <w:r>
        <w:rPr>
          <w:rFonts w:ascii="Arial" w:hAnsi="Arial" w:cs="Arial"/>
          <w:sz w:val="20"/>
          <w:szCs w:val="20"/>
        </w:rPr>
        <w:t xml:space="preserve">  VP 700 ioniser PO number XXXXXX </w:t>
      </w:r>
    </w:p>
    <w:p w:rsidR="00F03326" w:rsidRDefault="00F03326" w:rsidP="00F03326">
      <w:pPr>
        <w:pStyle w:val="NoSpacing"/>
        <w:rPr>
          <w:rStyle w:val="IntenseEmphasis"/>
          <w:b w:val="0"/>
          <w:bCs w:val="0"/>
          <w:i w:val="0"/>
          <w:iCs w:val="0"/>
          <w:color w:val="auto"/>
        </w:rPr>
      </w:pPr>
    </w:p>
    <w:p w:rsidR="00F11476" w:rsidRDefault="00F11476" w:rsidP="00F03326">
      <w:pPr>
        <w:pStyle w:val="NoSpacing"/>
        <w:rPr>
          <w:rStyle w:val="IntenseEmphasis"/>
          <w:b w:val="0"/>
          <w:bCs w:val="0"/>
          <w:i w:val="0"/>
          <w:iCs w:val="0"/>
          <w:color w:val="auto"/>
          <w:u w:val="single"/>
        </w:rPr>
      </w:pPr>
    </w:p>
    <w:p w:rsidR="001802CC" w:rsidRPr="001802CC" w:rsidRDefault="00F03326" w:rsidP="00F03326">
      <w:pPr>
        <w:pStyle w:val="NoSpacing"/>
        <w:rPr>
          <w:rStyle w:val="IntenseEmphasis"/>
          <w:b w:val="0"/>
          <w:bCs w:val="0"/>
          <w:i w:val="0"/>
          <w:iCs w:val="0"/>
          <w:color w:val="auto"/>
          <w:u w:val="single"/>
        </w:rPr>
      </w:pPr>
      <w:r>
        <w:rPr>
          <w:rStyle w:val="IntenseEmphasis"/>
          <w:b w:val="0"/>
          <w:bCs w:val="0"/>
          <w:i w:val="0"/>
          <w:iCs w:val="0"/>
          <w:color w:val="auto"/>
          <w:u w:val="single"/>
        </w:rPr>
        <w:t xml:space="preserve">Other </w:t>
      </w:r>
      <w:r w:rsidR="001802CC" w:rsidRPr="001802CC">
        <w:rPr>
          <w:rStyle w:val="IntenseEmphasis"/>
          <w:b w:val="0"/>
          <w:bCs w:val="0"/>
          <w:i w:val="0"/>
          <w:iCs w:val="0"/>
          <w:color w:val="auto"/>
          <w:u w:val="single"/>
        </w:rPr>
        <w:t>Adjustments which are not expected to change for some time:</w:t>
      </w:r>
    </w:p>
    <w:p w:rsidR="001802CC" w:rsidRDefault="001802CC" w:rsidP="001802CC">
      <w:pPr>
        <w:pStyle w:val="NoSpacing"/>
        <w:rPr>
          <w:rStyle w:val="IntenseEmphasis"/>
          <w:b w:val="0"/>
          <w:bCs w:val="0"/>
          <w:i w:val="0"/>
          <w:iCs w:val="0"/>
          <w:color w:val="auto"/>
        </w:rPr>
      </w:pPr>
    </w:p>
    <w:p w:rsidR="001802CC" w:rsidRDefault="00CE2877" w:rsidP="001802CC">
      <w:pPr>
        <w:pStyle w:val="NoSpacing"/>
        <w:rPr>
          <w:rStyle w:val="IntenseEmphasis"/>
          <w:b w:val="0"/>
          <w:bCs w:val="0"/>
          <w:i w:val="0"/>
          <w:iCs w:val="0"/>
          <w:color w:val="auto"/>
        </w:rPr>
      </w:pPr>
      <w:r>
        <w:rPr>
          <w:rStyle w:val="IntenseEmphasis"/>
          <w:b w:val="0"/>
          <w:bCs w:val="0"/>
          <w:i w:val="0"/>
          <w:iCs w:val="0"/>
          <w:color w:val="auto"/>
        </w:rPr>
        <w:t>In normal business, all accounting adjustments should be reversed automatically and re</w:t>
      </w:r>
      <w:r w:rsidR="00AA123F">
        <w:rPr>
          <w:rStyle w:val="IntenseEmphasis"/>
          <w:b w:val="0"/>
          <w:bCs w:val="0"/>
          <w:i w:val="0"/>
          <w:iCs w:val="0"/>
          <w:color w:val="auto"/>
        </w:rPr>
        <w:t>-</w:t>
      </w:r>
      <w:r>
        <w:rPr>
          <w:rStyle w:val="IntenseEmphasis"/>
          <w:b w:val="0"/>
          <w:bCs w:val="0"/>
          <w:i w:val="0"/>
          <w:iCs w:val="0"/>
          <w:color w:val="auto"/>
        </w:rPr>
        <w:t xml:space="preserve">accrued monthly.  If there are any static adjustments in an area where the accountant does </w:t>
      </w:r>
      <w:r w:rsidR="00AA123F">
        <w:rPr>
          <w:rStyle w:val="IntenseEmphasis"/>
          <w:b w:val="0"/>
          <w:bCs w:val="0"/>
          <w:i w:val="0"/>
          <w:iCs w:val="0"/>
          <w:color w:val="auto"/>
        </w:rPr>
        <w:t>not</w:t>
      </w:r>
      <w:r>
        <w:rPr>
          <w:rStyle w:val="IntenseEmphasis"/>
          <w:b w:val="0"/>
          <w:bCs w:val="0"/>
          <w:i w:val="0"/>
          <w:iCs w:val="0"/>
          <w:color w:val="auto"/>
        </w:rPr>
        <w:t xml:space="preserve"> feel that this is </w:t>
      </w:r>
      <w:r w:rsidR="00AA123F">
        <w:rPr>
          <w:rStyle w:val="IntenseEmphasis"/>
          <w:b w:val="0"/>
          <w:bCs w:val="0"/>
          <w:i w:val="0"/>
          <w:iCs w:val="0"/>
          <w:color w:val="auto"/>
        </w:rPr>
        <w:t>appropriate</w:t>
      </w:r>
      <w:r>
        <w:rPr>
          <w:rStyle w:val="IntenseEmphasis"/>
          <w:b w:val="0"/>
          <w:bCs w:val="0"/>
          <w:i w:val="0"/>
          <w:iCs w:val="0"/>
          <w:color w:val="auto"/>
        </w:rPr>
        <w:t xml:space="preserve">, please discuss with the </w:t>
      </w:r>
      <w:r w:rsidR="00AA123F">
        <w:rPr>
          <w:rStyle w:val="IntenseEmphasis"/>
          <w:b w:val="0"/>
          <w:bCs w:val="0"/>
          <w:i w:val="0"/>
          <w:iCs w:val="0"/>
          <w:color w:val="auto"/>
        </w:rPr>
        <w:t>Head</w:t>
      </w:r>
      <w:r>
        <w:rPr>
          <w:rStyle w:val="IntenseEmphasis"/>
          <w:b w:val="0"/>
          <w:bCs w:val="0"/>
          <w:i w:val="0"/>
          <w:iCs w:val="0"/>
          <w:color w:val="auto"/>
        </w:rPr>
        <w:t xml:space="preserve"> of Finance for that area, or the Financial </w:t>
      </w:r>
      <w:r w:rsidR="00AA123F">
        <w:rPr>
          <w:rStyle w:val="IntenseEmphasis"/>
          <w:b w:val="0"/>
          <w:bCs w:val="0"/>
          <w:i w:val="0"/>
          <w:iCs w:val="0"/>
          <w:color w:val="auto"/>
        </w:rPr>
        <w:t>Controller</w:t>
      </w:r>
      <w:r>
        <w:rPr>
          <w:rStyle w:val="IntenseEmphasis"/>
          <w:b w:val="0"/>
          <w:bCs w:val="0"/>
          <w:i w:val="0"/>
          <w:iCs w:val="0"/>
          <w:color w:val="auto"/>
        </w:rPr>
        <w:t>.  If this treatment is considered appropriate, these may</w:t>
      </w:r>
      <w:r w:rsidR="00F03326">
        <w:rPr>
          <w:rStyle w:val="IntenseEmphasis"/>
          <w:b w:val="0"/>
          <w:bCs w:val="0"/>
          <w:i w:val="0"/>
          <w:iCs w:val="0"/>
          <w:color w:val="auto"/>
        </w:rPr>
        <w:t xml:space="preserve"> not </w:t>
      </w:r>
      <w:r w:rsidR="00AA123F">
        <w:rPr>
          <w:rStyle w:val="IntenseEmphasis"/>
          <w:b w:val="0"/>
          <w:bCs w:val="0"/>
          <w:i w:val="0"/>
          <w:iCs w:val="0"/>
          <w:color w:val="auto"/>
        </w:rPr>
        <w:t xml:space="preserve">be </w:t>
      </w:r>
      <w:r w:rsidR="00F03326">
        <w:rPr>
          <w:rStyle w:val="IntenseEmphasis"/>
          <w:b w:val="0"/>
          <w:bCs w:val="0"/>
          <w:i w:val="0"/>
          <w:iCs w:val="0"/>
          <w:color w:val="auto"/>
        </w:rPr>
        <w:t>required to</w:t>
      </w:r>
      <w:r w:rsidR="001802CC">
        <w:rPr>
          <w:rStyle w:val="IntenseEmphasis"/>
          <w:b w:val="0"/>
          <w:bCs w:val="0"/>
          <w:i w:val="0"/>
          <w:iCs w:val="0"/>
          <w:color w:val="auto"/>
        </w:rPr>
        <w:t xml:space="preserve"> be routinely reversed and re-accrued</w:t>
      </w:r>
      <w:r w:rsidR="00F03326">
        <w:rPr>
          <w:rStyle w:val="IntenseEmphasis"/>
          <w:b w:val="0"/>
          <w:bCs w:val="0"/>
          <w:i w:val="0"/>
          <w:iCs w:val="0"/>
          <w:color w:val="auto"/>
        </w:rPr>
        <w:t>, although local areas may require this.   T</w:t>
      </w:r>
      <w:r w:rsidR="001802CC">
        <w:rPr>
          <w:rStyle w:val="IntenseEmphasis"/>
          <w:b w:val="0"/>
          <w:bCs w:val="0"/>
          <w:i w:val="0"/>
          <w:iCs w:val="0"/>
          <w:color w:val="auto"/>
        </w:rPr>
        <w:t xml:space="preserve">hey should be reviewed monthly and </w:t>
      </w:r>
      <w:r w:rsidR="00F03326">
        <w:rPr>
          <w:rStyle w:val="IntenseEmphasis"/>
          <w:b w:val="0"/>
          <w:bCs w:val="0"/>
          <w:i w:val="0"/>
          <w:iCs w:val="0"/>
          <w:color w:val="auto"/>
        </w:rPr>
        <w:t xml:space="preserve">must be fully </w:t>
      </w:r>
      <w:r w:rsidR="001802CC">
        <w:rPr>
          <w:rStyle w:val="IntenseEmphasis"/>
          <w:b w:val="0"/>
          <w:bCs w:val="0"/>
          <w:i w:val="0"/>
          <w:iCs w:val="0"/>
          <w:color w:val="auto"/>
        </w:rPr>
        <w:t xml:space="preserve">reversed when </w:t>
      </w:r>
      <w:proofErr w:type="gramStart"/>
      <w:r w:rsidR="001802CC">
        <w:rPr>
          <w:rStyle w:val="IntenseEmphasis"/>
          <w:b w:val="0"/>
          <w:bCs w:val="0"/>
          <w:i w:val="0"/>
          <w:iCs w:val="0"/>
          <w:color w:val="auto"/>
        </w:rPr>
        <w:t>either the</w:t>
      </w:r>
      <w:proofErr w:type="gramEnd"/>
      <w:r w:rsidR="001802CC">
        <w:rPr>
          <w:rStyle w:val="IntenseEmphasis"/>
          <w:b w:val="0"/>
          <w:bCs w:val="0"/>
          <w:i w:val="0"/>
          <w:iCs w:val="0"/>
          <w:color w:val="auto"/>
        </w:rPr>
        <w:t xml:space="preserve"> amount needs to change, e.g. a prepayment increases</w:t>
      </w:r>
      <w:r w:rsidR="00F03326">
        <w:rPr>
          <w:rStyle w:val="IntenseEmphasis"/>
          <w:b w:val="0"/>
          <w:bCs w:val="0"/>
          <w:i w:val="0"/>
          <w:iCs w:val="0"/>
          <w:color w:val="auto"/>
        </w:rPr>
        <w:t>, or it is no longer required</w:t>
      </w:r>
      <w:r w:rsidR="001802CC">
        <w:rPr>
          <w:rStyle w:val="IntenseEmphasis"/>
          <w:b w:val="0"/>
          <w:bCs w:val="0"/>
          <w:i w:val="0"/>
          <w:iCs w:val="0"/>
          <w:color w:val="auto"/>
        </w:rPr>
        <w:t xml:space="preserve">.  If an amount needs to change the original transaction should be </w:t>
      </w:r>
      <w:r w:rsidR="00F03326">
        <w:rPr>
          <w:rStyle w:val="IntenseEmphasis"/>
          <w:b w:val="0"/>
          <w:bCs w:val="0"/>
          <w:i w:val="0"/>
          <w:iCs w:val="0"/>
          <w:color w:val="auto"/>
        </w:rPr>
        <w:t xml:space="preserve">completely </w:t>
      </w:r>
      <w:r w:rsidR="001802CC">
        <w:rPr>
          <w:rStyle w:val="IntenseEmphasis"/>
          <w:b w:val="0"/>
          <w:bCs w:val="0"/>
          <w:i w:val="0"/>
          <w:iCs w:val="0"/>
          <w:color w:val="auto"/>
        </w:rPr>
        <w:t>reversed and a new transaction posted for the whole of the new amount, for clarity.</w:t>
      </w:r>
    </w:p>
    <w:p w:rsidR="001802CC" w:rsidRDefault="001802CC" w:rsidP="001802CC">
      <w:pPr>
        <w:pStyle w:val="NoSpacing"/>
        <w:rPr>
          <w:rStyle w:val="IntenseEmphasis"/>
          <w:b w:val="0"/>
          <w:bCs w:val="0"/>
          <w:i w:val="0"/>
          <w:iCs w:val="0"/>
          <w:color w:val="auto"/>
        </w:rPr>
      </w:pPr>
    </w:p>
    <w:p w:rsidR="001802CC" w:rsidRDefault="00AA123F" w:rsidP="001802CC">
      <w:pPr>
        <w:pStyle w:val="NoSpacing"/>
        <w:rPr>
          <w:rStyle w:val="IntenseEmphasis"/>
          <w:b w:val="0"/>
          <w:bCs w:val="0"/>
          <w:i w:val="0"/>
          <w:iCs w:val="0"/>
          <w:color w:val="auto"/>
        </w:rPr>
      </w:pPr>
      <w:r>
        <w:rPr>
          <w:rStyle w:val="IntenseEmphasis"/>
          <w:b w:val="0"/>
          <w:bCs w:val="0"/>
          <w:i w:val="0"/>
          <w:iCs w:val="0"/>
          <w:color w:val="auto"/>
        </w:rPr>
        <w:t>These are expected to be rare.</w:t>
      </w:r>
    </w:p>
    <w:p w:rsidR="00F03326" w:rsidRDefault="00F03326" w:rsidP="001802CC">
      <w:pPr>
        <w:pStyle w:val="NoSpacing"/>
        <w:rPr>
          <w:rStyle w:val="IntenseEmphasis"/>
          <w:b w:val="0"/>
          <w:bCs w:val="0"/>
          <w:i w:val="0"/>
          <w:iCs w:val="0"/>
          <w:color w:val="auto"/>
        </w:rPr>
      </w:pPr>
    </w:p>
    <w:p w:rsidR="00F03326" w:rsidRPr="00F03326" w:rsidRDefault="00F03326" w:rsidP="00F03326">
      <w:pPr>
        <w:pStyle w:val="NoSpacing"/>
        <w:rPr>
          <w:rStyle w:val="IntenseEmphasis"/>
          <w:b w:val="0"/>
          <w:bCs w:val="0"/>
          <w:i w:val="0"/>
          <w:iCs w:val="0"/>
          <w:color w:val="auto"/>
        </w:rPr>
      </w:pPr>
      <w:r w:rsidRPr="00F03326">
        <w:rPr>
          <w:rStyle w:val="IntenseEmphasis"/>
          <w:b w:val="0"/>
          <w:bCs w:val="0"/>
          <w:i w:val="0"/>
          <w:iCs w:val="0"/>
          <w:color w:val="auto"/>
        </w:rPr>
        <w:t>ALL adjustments should be reversed in July each year, and re-accrued, to make housekeeping checks easier, even if the amount of the adjustment has not changed.</w:t>
      </w:r>
    </w:p>
    <w:p w:rsidR="001802CC" w:rsidRDefault="001802CC" w:rsidP="001802CC">
      <w:pPr>
        <w:pStyle w:val="NoSpacing"/>
        <w:rPr>
          <w:rStyle w:val="IntenseEmphasis"/>
          <w:b w:val="0"/>
          <w:bCs w:val="0"/>
          <w:i w:val="0"/>
          <w:iCs w:val="0"/>
          <w:color w:val="auto"/>
        </w:rPr>
      </w:pPr>
    </w:p>
    <w:p w:rsidR="00091D9B" w:rsidRDefault="00091D9B" w:rsidP="001802CC">
      <w:pPr>
        <w:pStyle w:val="NoSpacing"/>
        <w:rPr>
          <w:rStyle w:val="IntenseEmphasis"/>
          <w:b w:val="0"/>
          <w:bCs w:val="0"/>
          <w:i w:val="0"/>
          <w:iCs w:val="0"/>
          <w:color w:val="auto"/>
        </w:rPr>
      </w:pPr>
    </w:p>
    <w:sectPr w:rsidR="00091D9B" w:rsidSect="00F03326">
      <w:pgSz w:w="11906" w:h="16838"/>
      <w:pgMar w:top="1440" w:right="849" w:bottom="141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228DD"/>
    <w:multiLevelType w:val="hybridMultilevel"/>
    <w:tmpl w:val="CAF8155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3341"/>
    <w:rsid w:val="00091D9B"/>
    <w:rsid w:val="00166357"/>
    <w:rsid w:val="0017115F"/>
    <w:rsid w:val="001802CC"/>
    <w:rsid w:val="00276E46"/>
    <w:rsid w:val="00453EDA"/>
    <w:rsid w:val="00554D73"/>
    <w:rsid w:val="005D4099"/>
    <w:rsid w:val="00627717"/>
    <w:rsid w:val="006D16F9"/>
    <w:rsid w:val="006E1D61"/>
    <w:rsid w:val="006E3B1E"/>
    <w:rsid w:val="007A0035"/>
    <w:rsid w:val="009960FA"/>
    <w:rsid w:val="00A10327"/>
    <w:rsid w:val="00A73341"/>
    <w:rsid w:val="00AA123F"/>
    <w:rsid w:val="00AC2D7F"/>
    <w:rsid w:val="00B82A38"/>
    <w:rsid w:val="00CE2877"/>
    <w:rsid w:val="00DF3216"/>
    <w:rsid w:val="00DF6EE2"/>
    <w:rsid w:val="00ED62A3"/>
    <w:rsid w:val="00F03326"/>
    <w:rsid w:val="00F114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7F"/>
  </w:style>
  <w:style w:type="paragraph" w:styleId="Heading2">
    <w:name w:val="heading 2"/>
    <w:basedOn w:val="Normal"/>
    <w:next w:val="Normal"/>
    <w:link w:val="Heading2Char"/>
    <w:uiPriority w:val="9"/>
    <w:unhideWhenUsed/>
    <w:qFormat/>
    <w:rsid w:val="00A733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3341"/>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A73341"/>
    <w:rPr>
      <w:b/>
      <w:bCs/>
      <w:i/>
      <w:iCs/>
      <w:color w:val="4F81BD" w:themeColor="accent1"/>
    </w:rPr>
  </w:style>
  <w:style w:type="paragraph" w:styleId="NoSpacing">
    <w:name w:val="No Spacing"/>
    <w:uiPriority w:val="1"/>
    <w:qFormat/>
    <w:rsid w:val="00A73341"/>
    <w:pPr>
      <w:spacing w:after="0" w:line="240" w:lineRule="auto"/>
    </w:pPr>
  </w:style>
  <w:style w:type="paragraph" w:styleId="BalloonText">
    <w:name w:val="Balloon Text"/>
    <w:basedOn w:val="Normal"/>
    <w:link w:val="BalloonTextChar"/>
    <w:uiPriority w:val="99"/>
    <w:semiHidden/>
    <w:unhideWhenUsed/>
    <w:rsid w:val="00627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17"/>
    <w:rPr>
      <w:rFonts w:ascii="Tahoma" w:hAnsi="Tahoma" w:cs="Tahoma"/>
      <w:sz w:val="16"/>
      <w:szCs w:val="16"/>
    </w:rPr>
  </w:style>
  <w:style w:type="paragraph" w:styleId="ListParagraph">
    <w:name w:val="List Paragraph"/>
    <w:basedOn w:val="Normal"/>
    <w:uiPriority w:val="34"/>
    <w:qFormat/>
    <w:rsid w:val="006E3B1E"/>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733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3341"/>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A73341"/>
    <w:rPr>
      <w:b/>
      <w:bCs/>
      <w:i/>
      <w:iCs/>
      <w:color w:val="4F81BD" w:themeColor="accent1"/>
    </w:rPr>
  </w:style>
  <w:style w:type="paragraph" w:styleId="NoSpacing">
    <w:name w:val="No Spacing"/>
    <w:uiPriority w:val="1"/>
    <w:qFormat/>
    <w:rsid w:val="00A73341"/>
    <w:pPr>
      <w:spacing w:after="0" w:line="240" w:lineRule="auto"/>
    </w:pPr>
  </w:style>
  <w:style w:type="paragraph" w:styleId="BalloonText">
    <w:name w:val="Balloon Text"/>
    <w:basedOn w:val="Normal"/>
    <w:link w:val="BalloonTextChar"/>
    <w:uiPriority w:val="99"/>
    <w:semiHidden/>
    <w:unhideWhenUsed/>
    <w:rsid w:val="00627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17"/>
    <w:rPr>
      <w:rFonts w:ascii="Tahoma" w:hAnsi="Tahoma" w:cs="Tahoma"/>
      <w:sz w:val="16"/>
      <w:szCs w:val="16"/>
    </w:rPr>
  </w:style>
  <w:style w:type="paragraph" w:styleId="ListParagraph">
    <w:name w:val="List Paragraph"/>
    <w:basedOn w:val="Normal"/>
    <w:uiPriority w:val="34"/>
    <w:qFormat/>
    <w:rsid w:val="006E3B1E"/>
    <w:pPr>
      <w:spacing w:after="0" w:line="240" w:lineRule="auto"/>
      <w:ind w:left="720"/>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68311112">
      <w:bodyDiv w:val="1"/>
      <w:marLeft w:val="0"/>
      <w:marRight w:val="0"/>
      <w:marTop w:val="0"/>
      <w:marBottom w:val="0"/>
      <w:divBdr>
        <w:top w:val="none" w:sz="0" w:space="0" w:color="auto"/>
        <w:left w:val="none" w:sz="0" w:space="0" w:color="auto"/>
        <w:bottom w:val="none" w:sz="0" w:space="0" w:color="auto"/>
        <w:right w:val="none" w:sz="0" w:space="0" w:color="auto"/>
      </w:divBdr>
    </w:div>
    <w:div w:id="158816558">
      <w:bodyDiv w:val="1"/>
      <w:marLeft w:val="0"/>
      <w:marRight w:val="0"/>
      <w:marTop w:val="0"/>
      <w:marBottom w:val="0"/>
      <w:divBdr>
        <w:top w:val="none" w:sz="0" w:space="0" w:color="auto"/>
        <w:left w:val="none" w:sz="0" w:space="0" w:color="auto"/>
        <w:bottom w:val="none" w:sz="0" w:space="0" w:color="auto"/>
        <w:right w:val="none" w:sz="0" w:space="0" w:color="auto"/>
      </w:divBdr>
    </w:div>
    <w:div w:id="628707055">
      <w:bodyDiv w:val="1"/>
      <w:marLeft w:val="0"/>
      <w:marRight w:val="0"/>
      <w:marTop w:val="0"/>
      <w:marBottom w:val="0"/>
      <w:divBdr>
        <w:top w:val="none" w:sz="0" w:space="0" w:color="auto"/>
        <w:left w:val="none" w:sz="0" w:space="0" w:color="auto"/>
        <w:bottom w:val="none" w:sz="0" w:space="0" w:color="auto"/>
        <w:right w:val="none" w:sz="0" w:space="0" w:color="auto"/>
      </w:divBdr>
    </w:div>
    <w:div w:id="1093010815">
      <w:bodyDiv w:val="1"/>
      <w:marLeft w:val="0"/>
      <w:marRight w:val="0"/>
      <w:marTop w:val="0"/>
      <w:marBottom w:val="0"/>
      <w:divBdr>
        <w:top w:val="none" w:sz="0" w:space="0" w:color="auto"/>
        <w:left w:val="none" w:sz="0" w:space="0" w:color="auto"/>
        <w:bottom w:val="none" w:sz="0" w:space="0" w:color="auto"/>
        <w:right w:val="none" w:sz="0" w:space="0" w:color="auto"/>
      </w:divBdr>
    </w:div>
    <w:div w:id="15341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5.png@01D09D70.2E9CF280" TargetMode="External"/><Relationship Id="rId11" Type="http://schemas.openxmlformats.org/officeDocument/2006/relationships/image" Target="media/image6.emf"/><Relationship Id="rId5" Type="http://schemas.openxmlformats.org/officeDocument/2006/relationships/image" Target="media/image1.pn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Roberts</dc:creator>
  <cp:lastModifiedBy>Professional Support Services</cp:lastModifiedBy>
  <cp:revision>2</cp:revision>
  <dcterms:created xsi:type="dcterms:W3CDTF">2015-04-22T13:20:00Z</dcterms:created>
  <dcterms:modified xsi:type="dcterms:W3CDTF">2015-04-22T13:20:00Z</dcterms:modified>
</cp:coreProperties>
</file>