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9D8B" w14:textId="7065FE6C" w:rsidR="00C11CB7" w:rsidRPr="00763448" w:rsidRDefault="00C11CB7">
      <w:pPr>
        <w:jc w:val="center"/>
        <w:rPr>
          <w:rFonts w:ascii="Arial" w:hAnsi="Arial" w:cs="Arial"/>
          <w:b/>
          <w:u w:val="single"/>
          <w:lang w:val="en-GB"/>
        </w:rPr>
      </w:pPr>
      <w:r w:rsidRPr="00763448">
        <w:rPr>
          <w:rFonts w:ascii="Arial" w:hAnsi="Arial" w:cs="Arial"/>
          <w:b/>
          <w:u w:val="single"/>
          <w:lang w:val="en-GB"/>
        </w:rPr>
        <w:t>Faculty of Humanities</w:t>
      </w:r>
      <w:r w:rsidR="005E65C3">
        <w:rPr>
          <w:rFonts w:ascii="Arial" w:hAnsi="Arial" w:cs="Arial"/>
          <w:b/>
          <w:u w:val="single"/>
          <w:lang w:val="en-GB"/>
        </w:rPr>
        <w:t>-Academic Promotions 202</w:t>
      </w:r>
      <w:r w:rsidR="00834AD9">
        <w:rPr>
          <w:rFonts w:ascii="Arial" w:hAnsi="Arial" w:cs="Arial"/>
          <w:b/>
          <w:u w:val="single"/>
          <w:lang w:val="en-GB"/>
        </w:rPr>
        <w:t>5</w:t>
      </w:r>
      <w:r w:rsidR="00631EA6">
        <w:rPr>
          <w:rFonts w:ascii="Arial" w:hAnsi="Arial" w:cs="Arial"/>
          <w:b/>
          <w:u w:val="single"/>
          <w:lang w:val="en-GB"/>
        </w:rPr>
        <w:t>/202</w:t>
      </w:r>
      <w:r w:rsidR="00834AD9">
        <w:rPr>
          <w:rFonts w:ascii="Arial" w:hAnsi="Arial" w:cs="Arial"/>
          <w:b/>
          <w:u w:val="single"/>
          <w:lang w:val="en-GB"/>
        </w:rPr>
        <w:t>6</w:t>
      </w:r>
    </w:p>
    <w:p w14:paraId="34DDCDD1" w14:textId="77777777" w:rsidR="00C11CB7" w:rsidRPr="00763448" w:rsidRDefault="00C11CB7">
      <w:pPr>
        <w:jc w:val="center"/>
        <w:rPr>
          <w:rFonts w:ascii="Arial" w:hAnsi="Arial" w:cs="Arial"/>
          <w:b/>
          <w:u w:val="single"/>
          <w:lang w:val="en-GB"/>
        </w:rPr>
      </w:pPr>
    </w:p>
    <w:p w14:paraId="3C2D891E" w14:textId="01817E5C" w:rsidR="00C11CB7" w:rsidRPr="00763448" w:rsidRDefault="00BC023D" w:rsidP="001872D6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>T</w:t>
      </w:r>
      <w:r w:rsidR="00C11CB7" w:rsidRPr="00763448">
        <w:rPr>
          <w:rFonts w:ascii="Arial" w:hAnsi="Arial" w:cs="Arial"/>
          <w:b/>
          <w:u w:val="single"/>
          <w:lang w:val="en-GB"/>
        </w:rPr>
        <w:t xml:space="preserve">imetable for </w:t>
      </w:r>
      <w:r w:rsidR="0058653A">
        <w:rPr>
          <w:rFonts w:ascii="Arial" w:hAnsi="Arial" w:cs="Arial"/>
          <w:b/>
          <w:u w:val="single"/>
          <w:lang w:val="en-GB"/>
        </w:rPr>
        <w:t xml:space="preserve">submission and </w:t>
      </w:r>
      <w:r w:rsidR="00797D26">
        <w:rPr>
          <w:rFonts w:ascii="Arial" w:hAnsi="Arial" w:cs="Arial"/>
          <w:b/>
          <w:u w:val="single"/>
          <w:lang w:val="en-GB"/>
        </w:rPr>
        <w:t xml:space="preserve">consideration of cases for academic and research staff </w:t>
      </w:r>
      <w:r w:rsidR="007F4E35">
        <w:rPr>
          <w:rFonts w:ascii="Arial" w:hAnsi="Arial" w:cs="Arial"/>
          <w:b/>
          <w:u w:val="single"/>
          <w:lang w:val="en-GB"/>
        </w:rPr>
        <w:t xml:space="preserve">promotion </w:t>
      </w:r>
    </w:p>
    <w:p w14:paraId="39F21499" w14:textId="77777777" w:rsidR="00C11CB7" w:rsidRPr="00763448" w:rsidRDefault="00C11CB7">
      <w:pPr>
        <w:jc w:val="center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5815"/>
        <w:gridCol w:w="1604"/>
      </w:tblGrid>
      <w:tr w:rsidR="00797D26" w:rsidRPr="00763448" w14:paraId="7E6EFDFA" w14:textId="77777777" w:rsidTr="007D3CFB">
        <w:tc>
          <w:tcPr>
            <w:tcW w:w="1211" w:type="dxa"/>
          </w:tcPr>
          <w:p w14:paraId="170CFD1D" w14:textId="77777777" w:rsidR="00C11CB7" w:rsidRPr="00B57A67" w:rsidRDefault="00C11CB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57A67">
              <w:rPr>
                <w:rFonts w:ascii="Arial" w:hAnsi="Arial" w:cs="Arial"/>
                <w:b/>
                <w:sz w:val="22"/>
                <w:szCs w:val="22"/>
                <w:lang w:val="en-GB"/>
              </w:rPr>
              <w:t>Key Date No.</w:t>
            </w:r>
          </w:p>
        </w:tc>
        <w:tc>
          <w:tcPr>
            <w:tcW w:w="5815" w:type="dxa"/>
          </w:tcPr>
          <w:p w14:paraId="6856F89B" w14:textId="77777777" w:rsidR="00C11CB7" w:rsidRPr="00B57A67" w:rsidRDefault="00C11CB7" w:rsidP="005865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57A67">
              <w:rPr>
                <w:rFonts w:ascii="Arial" w:hAnsi="Arial" w:cs="Arial"/>
                <w:b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1604" w:type="dxa"/>
          </w:tcPr>
          <w:p w14:paraId="6B8C3F8D" w14:textId="77777777" w:rsidR="00C11CB7" w:rsidRPr="00B57A67" w:rsidRDefault="00C11CB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57A67">
              <w:rPr>
                <w:rFonts w:ascii="Arial" w:hAnsi="Arial" w:cs="Arial"/>
                <w:b/>
                <w:sz w:val="22"/>
                <w:szCs w:val="22"/>
                <w:lang w:val="en-GB"/>
              </w:rPr>
              <w:t>Latest Date</w:t>
            </w:r>
          </w:p>
        </w:tc>
      </w:tr>
      <w:tr w:rsidR="00797D26" w:rsidRPr="00763448" w14:paraId="37693E20" w14:textId="77777777" w:rsidTr="007D3CFB">
        <w:tc>
          <w:tcPr>
            <w:tcW w:w="1211" w:type="dxa"/>
          </w:tcPr>
          <w:p w14:paraId="03126678" w14:textId="77777777" w:rsidR="00C11CB7" w:rsidRPr="005349DC" w:rsidRDefault="00C11CB7" w:rsidP="005349DC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73F1CCCD" w14:textId="3D448A10" w:rsidR="00C11CB7" w:rsidRPr="00763448" w:rsidRDefault="004B160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Schools to decide when formal processes will begin from that point.</w:t>
            </w:r>
          </w:p>
        </w:tc>
        <w:tc>
          <w:tcPr>
            <w:tcW w:w="1604" w:type="dxa"/>
          </w:tcPr>
          <w:p w14:paraId="1E4AD20F" w14:textId="0F783B4F" w:rsidR="00C11CB7" w:rsidRPr="00EE7526" w:rsidRDefault="007F4E35" w:rsidP="00436C4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31</w:t>
            </w:r>
            <w:r w:rsidRPr="007F4E3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October 202</w:t>
            </w:r>
            <w:r w:rsidR="0022109C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</w:tr>
      <w:tr w:rsidR="00797D26" w:rsidRPr="00763448" w14:paraId="6AEFDD16" w14:textId="77777777" w:rsidTr="007D3CFB">
        <w:tc>
          <w:tcPr>
            <w:tcW w:w="1211" w:type="dxa"/>
          </w:tcPr>
          <w:p w14:paraId="5B811FB3" w14:textId="77777777" w:rsidR="003F1AE9" w:rsidRPr="005349DC" w:rsidRDefault="003F1AE9" w:rsidP="005349DC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03A9FA36" w14:textId="6DF57DB6" w:rsidR="003F1AE9" w:rsidRPr="00D63470" w:rsidRDefault="00D63470" w:rsidP="00FB7F1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63470">
              <w:rPr>
                <w:rFonts w:ascii="Arial" w:hAnsi="Arial" w:cs="Arial"/>
                <w:sz w:val="22"/>
                <w:szCs w:val="22"/>
                <w:lang w:val="en-GB"/>
              </w:rPr>
              <w:t>EDI</w:t>
            </w:r>
            <w:r w:rsidR="003F1AE9" w:rsidRPr="00D63470">
              <w:rPr>
                <w:rFonts w:ascii="Arial" w:hAnsi="Arial" w:cs="Arial"/>
                <w:sz w:val="22"/>
                <w:szCs w:val="22"/>
                <w:lang w:val="en-GB"/>
              </w:rPr>
              <w:t xml:space="preserve"> profile of </w:t>
            </w:r>
            <w:r w:rsidR="00631EA6" w:rsidRPr="00D63470">
              <w:rPr>
                <w:rFonts w:ascii="Arial" w:hAnsi="Arial" w:cs="Arial"/>
                <w:sz w:val="22"/>
                <w:szCs w:val="22"/>
                <w:lang w:val="en-GB"/>
              </w:rPr>
              <w:t>School’s A</w:t>
            </w:r>
            <w:r w:rsidR="003F1AE9" w:rsidRPr="00D63470">
              <w:rPr>
                <w:rFonts w:ascii="Arial" w:hAnsi="Arial" w:cs="Arial"/>
                <w:sz w:val="22"/>
                <w:szCs w:val="22"/>
                <w:lang w:val="en-GB"/>
              </w:rPr>
              <w:t xml:space="preserve">cademic staff sent to Schools by </w:t>
            </w:r>
            <w:r w:rsidR="00335EC7">
              <w:rPr>
                <w:rFonts w:ascii="Arial" w:hAnsi="Arial" w:cs="Arial"/>
                <w:sz w:val="22"/>
                <w:szCs w:val="22"/>
                <w:lang w:val="en-GB"/>
              </w:rPr>
              <w:t xml:space="preserve">People Leaders Advisor </w:t>
            </w:r>
            <w:r w:rsidR="000153A1" w:rsidRPr="00D63470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DD478D" w:rsidRPr="00D63470">
              <w:rPr>
                <w:rFonts w:ascii="Arial" w:hAnsi="Arial" w:cs="Arial"/>
                <w:sz w:val="22"/>
                <w:szCs w:val="22"/>
                <w:lang w:val="en-GB"/>
              </w:rPr>
              <w:t xml:space="preserve"> (for monitoring purposes only)</w:t>
            </w:r>
            <w:r w:rsidR="00327D31" w:rsidRPr="00D6347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604" w:type="dxa"/>
          </w:tcPr>
          <w:p w14:paraId="2AF0977A" w14:textId="08AADFC7" w:rsidR="003F1AE9" w:rsidRPr="000153A1" w:rsidRDefault="007F4E35" w:rsidP="007F4E3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 w:rsidRPr="007F4E35">
              <w:rPr>
                <w:rFonts w:ascii="Arial" w:hAnsi="Arial" w:cs="Arial"/>
                <w:sz w:val="22"/>
                <w:szCs w:val="22"/>
                <w:lang w:val="en-GB"/>
              </w:rPr>
              <w:t>31</w:t>
            </w:r>
            <w:r w:rsidRPr="007F4E3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st</w:t>
            </w:r>
            <w:r w:rsidRPr="007F4E35">
              <w:rPr>
                <w:rFonts w:ascii="Arial" w:hAnsi="Arial" w:cs="Arial"/>
                <w:sz w:val="22"/>
                <w:szCs w:val="22"/>
                <w:lang w:val="en-GB"/>
              </w:rPr>
              <w:t xml:space="preserve"> October 202</w:t>
            </w:r>
            <w:r w:rsidR="0022109C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</w:tr>
      <w:tr w:rsidR="00797D26" w:rsidRPr="00763448" w14:paraId="56623E05" w14:textId="77777777" w:rsidTr="007D3CFB">
        <w:tc>
          <w:tcPr>
            <w:tcW w:w="1211" w:type="dxa"/>
          </w:tcPr>
          <w:p w14:paraId="0F0196EC" w14:textId="77777777" w:rsidR="00C11CB7" w:rsidRPr="005349DC" w:rsidRDefault="00C11CB7" w:rsidP="005349DC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4B078E03" w14:textId="46F627AE" w:rsidR="00C11CB7" w:rsidRPr="00763448" w:rsidRDefault="00C11CB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Individuals submit </w:t>
            </w:r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 xml:space="preserve">promotion 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applications to </w:t>
            </w:r>
            <w:proofErr w:type="spellStart"/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proofErr w:type="spellEnd"/>
            <w:r w:rsidR="00335EC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35F59"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Line managers submit statement to </w:t>
            </w:r>
            <w:proofErr w:type="spellStart"/>
            <w:r w:rsidR="00435F59" w:rsidRPr="00763448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r w:rsidR="00435F59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proofErr w:type="spellEnd"/>
          </w:p>
        </w:tc>
        <w:tc>
          <w:tcPr>
            <w:tcW w:w="1604" w:type="dxa"/>
          </w:tcPr>
          <w:p w14:paraId="7BDFDE5B" w14:textId="77777777" w:rsidR="00C11CB7" w:rsidRPr="00EE7526" w:rsidRDefault="00C11CB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7526">
              <w:rPr>
                <w:rFonts w:ascii="Arial" w:hAnsi="Arial" w:cs="Arial"/>
                <w:sz w:val="22"/>
                <w:szCs w:val="22"/>
                <w:lang w:val="en-GB"/>
              </w:rPr>
              <w:t>School to determine</w:t>
            </w:r>
          </w:p>
        </w:tc>
      </w:tr>
      <w:tr w:rsidR="00797D26" w:rsidRPr="00763448" w14:paraId="6D669F6F" w14:textId="77777777" w:rsidTr="007D3CFB">
        <w:tc>
          <w:tcPr>
            <w:tcW w:w="1211" w:type="dxa"/>
          </w:tcPr>
          <w:p w14:paraId="11F2347D" w14:textId="77777777" w:rsidR="00C11CB7" w:rsidRPr="005349DC" w:rsidRDefault="00C11CB7" w:rsidP="005349DC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13D45DC1" w14:textId="425611BF" w:rsidR="00C11CB7" w:rsidRDefault="00287504" w:rsidP="003D059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Head of School </w:t>
            </w:r>
            <w:r w:rsidR="00C11CB7"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submits </w:t>
            </w:r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 xml:space="preserve">promotion </w:t>
            </w:r>
            <w:r w:rsidR="00C11CB7" w:rsidRPr="00763448">
              <w:rPr>
                <w:rFonts w:ascii="Arial" w:hAnsi="Arial" w:cs="Arial"/>
                <w:sz w:val="22"/>
                <w:szCs w:val="22"/>
                <w:lang w:val="en-GB"/>
              </w:rPr>
              <w:t>cases to Dean</w:t>
            </w:r>
            <w:r w:rsidR="001E21D8">
              <w:rPr>
                <w:rFonts w:ascii="Arial" w:hAnsi="Arial" w:cs="Arial"/>
                <w:sz w:val="22"/>
                <w:szCs w:val="22"/>
                <w:lang w:val="en-GB"/>
              </w:rPr>
              <w:t xml:space="preserve"> (via </w:t>
            </w:r>
            <w:r w:rsidR="00FB7F1B">
              <w:rPr>
                <w:rFonts w:ascii="Arial" w:hAnsi="Arial" w:cs="Arial"/>
                <w:sz w:val="22"/>
                <w:szCs w:val="22"/>
                <w:lang w:val="en-GB"/>
              </w:rPr>
              <w:t>People</w:t>
            </w:r>
            <w:r w:rsidR="00335EC7">
              <w:rPr>
                <w:rFonts w:ascii="Arial" w:hAnsi="Arial" w:cs="Arial"/>
                <w:sz w:val="22"/>
                <w:szCs w:val="22"/>
                <w:lang w:val="en-GB"/>
              </w:rPr>
              <w:t xml:space="preserve"> Leaders Advisor</w:t>
            </w:r>
            <w:r w:rsidR="00FB7F1B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153A1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1E21D8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DC589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for SL, Reader</w:t>
            </w:r>
            <w:r w:rsidR="00BB4EFA">
              <w:rPr>
                <w:rFonts w:ascii="Arial" w:hAnsi="Arial" w:cs="Arial"/>
                <w:sz w:val="22"/>
                <w:szCs w:val="22"/>
                <w:lang w:val="en-GB"/>
              </w:rPr>
              <w:t>, Senior Research Fellow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 xml:space="preserve"> and Professor </w:t>
            </w:r>
            <w:r w:rsidR="00DC589E">
              <w:rPr>
                <w:rFonts w:ascii="Arial" w:hAnsi="Arial" w:cs="Arial"/>
                <w:sz w:val="22"/>
                <w:szCs w:val="22"/>
                <w:lang w:val="en-GB"/>
              </w:rPr>
              <w:t xml:space="preserve">highlighting any </w:t>
            </w:r>
            <w:proofErr w:type="gramStart"/>
            <w:r w:rsidR="00DC589E">
              <w:rPr>
                <w:rFonts w:ascii="Arial" w:hAnsi="Arial" w:cs="Arial"/>
                <w:sz w:val="22"/>
                <w:szCs w:val="22"/>
                <w:lang w:val="en-GB"/>
              </w:rPr>
              <w:t>particular individual</w:t>
            </w:r>
            <w:proofErr w:type="gramEnd"/>
            <w:r w:rsidR="00DC589E">
              <w:rPr>
                <w:rFonts w:ascii="Arial" w:hAnsi="Arial" w:cs="Arial"/>
                <w:sz w:val="22"/>
                <w:szCs w:val="22"/>
                <w:lang w:val="en-GB"/>
              </w:rPr>
              <w:t xml:space="preserve"> circumstances which should be brought to the attention of FPC</w:t>
            </w:r>
          </w:p>
          <w:p w14:paraId="551D6D62" w14:textId="77777777" w:rsidR="003D0590" w:rsidRPr="00763448" w:rsidRDefault="003D0590" w:rsidP="003D059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(See also Key date 6)</w:t>
            </w:r>
          </w:p>
        </w:tc>
        <w:tc>
          <w:tcPr>
            <w:tcW w:w="1604" w:type="dxa"/>
          </w:tcPr>
          <w:p w14:paraId="6FCF95A7" w14:textId="77777777" w:rsidR="00335EC7" w:rsidRDefault="001B0867" w:rsidP="00DD313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752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C6C52" w:rsidRPr="00EE752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64FA3240" w14:textId="7AF3A360" w:rsidR="00C11CB7" w:rsidRPr="00EE7526" w:rsidRDefault="002160BE" w:rsidP="00DD313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160BE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22109C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  <w:r w:rsidRPr="002160B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  <w:r w:rsidR="00791792" w:rsidRPr="002160BE">
              <w:rPr>
                <w:rFonts w:ascii="Arial" w:hAnsi="Arial" w:cs="Arial"/>
                <w:sz w:val="22"/>
                <w:szCs w:val="22"/>
                <w:lang w:val="en-GB"/>
              </w:rPr>
              <w:t xml:space="preserve"> February 202</w:t>
            </w:r>
            <w:r w:rsidR="0022109C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797D26" w:rsidRPr="00763448" w14:paraId="02816674" w14:textId="77777777" w:rsidTr="007D3CFB">
        <w:tc>
          <w:tcPr>
            <w:tcW w:w="1211" w:type="dxa"/>
          </w:tcPr>
          <w:p w14:paraId="14FF4B88" w14:textId="77777777" w:rsidR="00C11CB7" w:rsidRPr="005349DC" w:rsidRDefault="00C11CB7" w:rsidP="005349DC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21014A98" w14:textId="77777777" w:rsidR="00C11CB7" w:rsidRDefault="00C11CB7" w:rsidP="00435F5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proofErr w:type="spellEnd"/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4367F">
              <w:rPr>
                <w:rFonts w:ascii="Arial" w:hAnsi="Arial" w:cs="Arial"/>
                <w:sz w:val="22"/>
                <w:szCs w:val="22"/>
                <w:lang w:val="en-GB"/>
              </w:rPr>
              <w:t>informs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 individuals for whom SPC</w:t>
            </w:r>
            <w:r w:rsidR="0076026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decides there is no </w:t>
            </w:r>
            <w:r w:rsidRPr="00763448">
              <w:rPr>
                <w:rFonts w:ascii="Arial" w:hAnsi="Arial" w:cs="Arial"/>
                <w:i/>
                <w:sz w:val="22"/>
                <w:szCs w:val="22"/>
                <w:lang w:val="en-GB"/>
              </w:rPr>
              <w:t>prima facie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 case</w:t>
            </w:r>
            <w:r w:rsidR="000F549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A53F48">
              <w:rPr>
                <w:rFonts w:ascii="Arial" w:hAnsi="Arial" w:cs="Arial"/>
                <w:sz w:val="22"/>
                <w:szCs w:val="22"/>
                <w:lang w:val="en-GB"/>
              </w:rPr>
              <w:t xml:space="preserve">(category D) </w:t>
            </w:r>
            <w:r w:rsidR="000F549D">
              <w:rPr>
                <w:rFonts w:ascii="Arial" w:hAnsi="Arial" w:cs="Arial"/>
                <w:sz w:val="22"/>
                <w:szCs w:val="22"/>
                <w:lang w:val="en-GB"/>
              </w:rPr>
              <w:t xml:space="preserve">and advises them of their right to make a personal case to the Faculty Promotions Committee by key date </w:t>
            </w:r>
            <w:r w:rsidR="00435F59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499766CF" w14:textId="77777777" w:rsidR="00A53F48" w:rsidRDefault="00A53F48" w:rsidP="00435F5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04FF8E0" w14:textId="77777777" w:rsidR="00A53F48" w:rsidRPr="00763448" w:rsidRDefault="00A53F48" w:rsidP="00F4367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A53F48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proofErr w:type="spellEnd"/>
            <w:r w:rsidRPr="00A53F4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4367F">
              <w:rPr>
                <w:rFonts w:ascii="Arial" w:hAnsi="Arial" w:cs="Arial"/>
                <w:sz w:val="22"/>
                <w:szCs w:val="22"/>
                <w:lang w:val="en-GB"/>
              </w:rPr>
              <w:t>informs</w:t>
            </w:r>
            <w:r w:rsidRPr="00A53F48">
              <w:rPr>
                <w:rFonts w:ascii="Arial" w:hAnsi="Arial" w:cs="Arial"/>
                <w:sz w:val="22"/>
                <w:szCs w:val="22"/>
                <w:lang w:val="en-GB"/>
              </w:rPr>
              <w:t xml:space="preserve"> individuals for whom SPC decides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r w:rsidRPr="00A53F48">
              <w:rPr>
                <w:rFonts w:ascii="Arial" w:hAnsi="Arial" w:cs="Arial"/>
                <w:sz w:val="22"/>
                <w:szCs w:val="22"/>
                <w:lang w:val="en-GB"/>
              </w:rPr>
              <w:t xml:space="preserve">case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marginally fail to meet the criteria </w:t>
            </w:r>
            <w:r w:rsidRPr="00A53F48">
              <w:rPr>
                <w:rFonts w:ascii="Arial" w:hAnsi="Arial" w:cs="Arial"/>
                <w:sz w:val="22"/>
                <w:szCs w:val="22"/>
                <w:lang w:val="en-GB"/>
              </w:rPr>
              <w:t xml:space="preserve">(category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A53F48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C5A9C" w:rsidRPr="00DC5A9C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>in advance</w:t>
            </w:r>
            <w:r w:rsidR="00DC5A9C">
              <w:rPr>
                <w:rFonts w:ascii="Arial" w:hAnsi="Arial" w:cs="Arial"/>
                <w:sz w:val="22"/>
                <w:szCs w:val="22"/>
                <w:lang w:val="en-GB"/>
              </w:rPr>
              <w:t xml:space="preserve"> of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key date 6</w:t>
            </w:r>
            <w:r w:rsidR="00DC5A9C">
              <w:rPr>
                <w:rFonts w:ascii="Arial" w:hAnsi="Arial" w:cs="Arial"/>
                <w:sz w:val="22"/>
                <w:szCs w:val="22"/>
                <w:lang w:val="en-GB"/>
              </w:rPr>
              <w:t xml:space="preserve"> to allow the individual to decide whether to proceed with their case.</w:t>
            </w:r>
          </w:p>
        </w:tc>
        <w:tc>
          <w:tcPr>
            <w:tcW w:w="1604" w:type="dxa"/>
          </w:tcPr>
          <w:p w14:paraId="270B95DF" w14:textId="54EC2F7D" w:rsidR="00C11CB7" w:rsidRPr="00EE7526" w:rsidRDefault="002160BE" w:rsidP="00DD313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160BE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22109C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  <w:r w:rsidRPr="002160B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  <w:r w:rsidR="00791792" w:rsidRPr="002160BE">
              <w:rPr>
                <w:rFonts w:ascii="Arial" w:hAnsi="Arial" w:cs="Arial"/>
                <w:sz w:val="22"/>
                <w:szCs w:val="22"/>
                <w:lang w:val="en-GB"/>
              </w:rPr>
              <w:t xml:space="preserve"> February 202</w:t>
            </w:r>
            <w:r w:rsidR="0022109C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797D26" w:rsidRPr="00763448" w14:paraId="2F948889" w14:textId="77777777" w:rsidTr="007D3CFB">
        <w:tc>
          <w:tcPr>
            <w:tcW w:w="1211" w:type="dxa"/>
            <w:tcBorders>
              <w:bottom w:val="single" w:sz="4" w:space="0" w:color="auto"/>
            </w:tcBorders>
          </w:tcPr>
          <w:p w14:paraId="39442CD5" w14:textId="77777777" w:rsidR="00960C67" w:rsidRPr="005349DC" w:rsidRDefault="00960C67" w:rsidP="005349DC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14:paraId="0778C62B" w14:textId="59C065EE" w:rsidR="003D0590" w:rsidRDefault="00960C67" w:rsidP="003D059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Papers distributed to FPC </w:t>
            </w:r>
            <w:r w:rsidR="000607BF">
              <w:rPr>
                <w:rFonts w:ascii="Arial" w:hAnsi="Arial" w:cs="Arial"/>
                <w:sz w:val="22"/>
                <w:szCs w:val="22"/>
                <w:lang w:val="en-GB"/>
              </w:rPr>
              <w:t>members</w:t>
            </w:r>
            <w:r w:rsidR="00C4385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with </w:t>
            </w:r>
            <w:r w:rsidR="00D3509A">
              <w:rPr>
                <w:rFonts w:ascii="Arial" w:hAnsi="Arial" w:cs="Arial"/>
                <w:sz w:val="22"/>
                <w:szCs w:val="22"/>
                <w:lang w:val="en-GB"/>
              </w:rPr>
              <w:t xml:space="preserve">candidate 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assessment forms</w:t>
            </w:r>
            <w:r w:rsidR="00797D26">
              <w:rPr>
                <w:rFonts w:ascii="Arial" w:hAnsi="Arial" w:cs="Arial"/>
                <w:sz w:val="22"/>
                <w:szCs w:val="22"/>
                <w:lang w:val="en-GB"/>
              </w:rPr>
              <w:t xml:space="preserve"> for promotion cases 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 xml:space="preserve">to </w:t>
            </w:r>
            <w:r w:rsidR="00FB7F1B">
              <w:rPr>
                <w:rFonts w:ascii="Arial" w:hAnsi="Arial" w:cs="Arial"/>
                <w:sz w:val="22"/>
                <w:szCs w:val="22"/>
                <w:lang w:val="en-GB"/>
              </w:rPr>
              <w:t xml:space="preserve">Senior Research Fellow, 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SL, Reader and Professor</w:t>
            </w:r>
            <w:r w:rsidR="00891736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3F57217C" w14:textId="77777777" w:rsidR="003D0590" w:rsidRDefault="003D0590" w:rsidP="003D059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F5B7BF5" w14:textId="02D6D399" w:rsidR="00193A0A" w:rsidRPr="001A531C" w:rsidRDefault="003D0590" w:rsidP="007F4E3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Schools to submit to </w:t>
            </w:r>
            <w:r w:rsidR="000153A1">
              <w:rPr>
                <w:rFonts w:ascii="Arial" w:hAnsi="Arial" w:cs="Arial"/>
                <w:sz w:val="22"/>
                <w:szCs w:val="22"/>
                <w:lang w:val="en-GB"/>
              </w:rPr>
              <w:t>People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 xml:space="preserve"> Leaders Advisory</w:t>
            </w:r>
            <w:r w:rsidR="000153A1">
              <w:rPr>
                <w:rFonts w:ascii="Arial" w:hAnsi="Arial" w:cs="Arial"/>
                <w:sz w:val="22"/>
                <w:szCs w:val="22"/>
                <w:lang w:val="en-GB"/>
              </w:rPr>
              <w:t xml:space="preserve"> Team</w:t>
            </w:r>
            <w:r w:rsidR="007F4E35">
              <w:rPr>
                <w:rFonts w:ascii="Arial" w:hAnsi="Arial" w:cs="Arial"/>
                <w:sz w:val="22"/>
                <w:szCs w:val="22"/>
                <w:lang w:val="en-GB"/>
              </w:rPr>
              <w:t xml:space="preserve"> a </w:t>
            </w:r>
            <w:r w:rsidRPr="001A531C">
              <w:rPr>
                <w:rFonts w:ascii="Arial" w:hAnsi="Arial" w:cs="Arial"/>
                <w:sz w:val="22"/>
                <w:szCs w:val="22"/>
                <w:lang w:val="en-GB"/>
              </w:rPr>
              <w:t xml:space="preserve">summary report of SPC decisions </w:t>
            </w:r>
            <w:r w:rsidR="000153A1" w:rsidRPr="001A531C">
              <w:rPr>
                <w:rFonts w:ascii="Arial" w:hAnsi="Arial" w:cs="Arial"/>
                <w:sz w:val="22"/>
                <w:szCs w:val="22"/>
                <w:lang w:val="en-GB"/>
              </w:rPr>
              <w:t>for</w:t>
            </w:r>
            <w:r w:rsidRPr="001A531C">
              <w:rPr>
                <w:rFonts w:ascii="Arial" w:hAnsi="Arial" w:cs="Arial"/>
                <w:sz w:val="22"/>
                <w:szCs w:val="22"/>
                <w:lang w:val="en-GB"/>
              </w:rPr>
              <w:t xml:space="preserve"> Grade 7 Lecturer and </w:t>
            </w:r>
            <w:r w:rsidR="001A531C" w:rsidRPr="001A531C">
              <w:rPr>
                <w:rFonts w:ascii="Arial" w:hAnsi="Arial" w:cs="Arial"/>
                <w:sz w:val="22"/>
                <w:szCs w:val="22"/>
                <w:lang w:val="en-GB"/>
              </w:rPr>
              <w:t xml:space="preserve">promotion to Research Associate or </w:t>
            </w:r>
            <w:r w:rsidRPr="001A531C">
              <w:rPr>
                <w:rFonts w:ascii="Arial" w:hAnsi="Arial" w:cs="Arial"/>
                <w:sz w:val="22"/>
                <w:szCs w:val="22"/>
                <w:lang w:val="en-GB"/>
              </w:rPr>
              <w:t xml:space="preserve">Research Fellow. </w:t>
            </w:r>
          </w:p>
          <w:p w14:paraId="42683337" w14:textId="1EDC7955" w:rsidR="00193A0A" w:rsidRPr="00193A0A" w:rsidRDefault="00193A0A" w:rsidP="00193A0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14:paraId="32819096" w14:textId="2BE40BE0" w:rsidR="00960C67" w:rsidRPr="00EE7526" w:rsidRDefault="0022109C" w:rsidP="00FB7F1B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  <w:r w:rsidRPr="0022109C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D3139" w:rsidRPr="002160BE">
              <w:rPr>
                <w:rFonts w:ascii="Arial" w:hAnsi="Arial" w:cs="Arial"/>
                <w:sz w:val="22"/>
                <w:szCs w:val="22"/>
                <w:lang w:val="en-GB"/>
              </w:rPr>
              <w:t>March 202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  <w:r w:rsidR="001B0867" w:rsidRPr="00EE752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C0277E" w:rsidRPr="00C0277E" w14:paraId="58DA4CEF" w14:textId="77777777" w:rsidTr="007D3CFB">
        <w:tc>
          <w:tcPr>
            <w:tcW w:w="1211" w:type="dxa"/>
          </w:tcPr>
          <w:p w14:paraId="7046B287" w14:textId="77777777" w:rsidR="00763448" w:rsidRPr="005349DC" w:rsidRDefault="00763448" w:rsidP="005349DC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633BDF2D" w14:textId="627E8AFF" w:rsidR="00763448" w:rsidRPr="00C53616" w:rsidRDefault="00D3509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53616">
              <w:rPr>
                <w:rFonts w:ascii="Arial" w:hAnsi="Arial" w:cs="Arial"/>
                <w:sz w:val="22"/>
                <w:szCs w:val="22"/>
                <w:lang w:val="en-GB"/>
              </w:rPr>
              <w:t>FPC members complete a</w:t>
            </w:r>
            <w:r w:rsidR="00FB7F1B" w:rsidRPr="00C53616">
              <w:rPr>
                <w:rFonts w:ascii="Arial" w:hAnsi="Arial" w:cs="Arial"/>
                <w:sz w:val="22"/>
                <w:szCs w:val="22"/>
                <w:lang w:val="en-GB"/>
              </w:rPr>
              <w:t>nd return assessment forms to People</w:t>
            </w:r>
            <w:r w:rsidR="00C53616" w:rsidRPr="00C53616">
              <w:rPr>
                <w:rFonts w:ascii="Arial" w:hAnsi="Arial" w:cs="Arial"/>
                <w:sz w:val="22"/>
                <w:szCs w:val="22"/>
                <w:lang w:val="en-GB"/>
              </w:rPr>
              <w:t xml:space="preserve"> Leader Advisor</w:t>
            </w:r>
            <w:r w:rsidR="00FB7F1B" w:rsidRPr="00C5361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A531C" w:rsidRPr="00C53616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327D31" w:rsidRPr="00C53616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604" w:type="dxa"/>
          </w:tcPr>
          <w:p w14:paraId="0AED9E30" w14:textId="716AD42F" w:rsidR="00763448" w:rsidRPr="00C53616" w:rsidRDefault="001A531C" w:rsidP="00CD414B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53616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C53616" w:rsidRPr="00C53616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Pr="00C53616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  <w:r w:rsidR="00DD3139" w:rsidRPr="00C53616">
              <w:rPr>
                <w:rFonts w:ascii="Arial" w:hAnsi="Arial" w:cs="Arial"/>
                <w:sz w:val="22"/>
                <w:szCs w:val="22"/>
                <w:lang w:val="en-GB"/>
              </w:rPr>
              <w:t xml:space="preserve"> April 202</w:t>
            </w:r>
            <w:r w:rsidR="00C53616" w:rsidRPr="00C53616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C0277E" w:rsidRPr="00C0277E" w14:paraId="73E654B2" w14:textId="77777777" w:rsidTr="007D3CFB">
        <w:tc>
          <w:tcPr>
            <w:tcW w:w="1211" w:type="dxa"/>
          </w:tcPr>
          <w:p w14:paraId="49C66130" w14:textId="77777777" w:rsidR="00D3509A" w:rsidRPr="005349DC" w:rsidRDefault="00D3509A" w:rsidP="005349DC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5A8B4BA6" w14:textId="2335B91B" w:rsidR="00D3509A" w:rsidRPr="00E74043" w:rsidRDefault="00C53616" w:rsidP="008917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People Advisory </w:t>
            </w:r>
            <w:r w:rsidR="001A531C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 w:rsidR="00D3509A" w:rsidRPr="00E74043">
              <w:rPr>
                <w:rFonts w:ascii="Arial" w:hAnsi="Arial" w:cs="Arial"/>
                <w:sz w:val="22"/>
                <w:szCs w:val="22"/>
                <w:lang w:val="en-GB"/>
              </w:rPr>
              <w:t xml:space="preserve"> prepares summaries of assessments</w:t>
            </w:r>
            <w:r w:rsidR="00983304" w:rsidRPr="00E74043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proofErr w:type="spellStart"/>
            <w:r w:rsidR="00983304" w:rsidRPr="00E74043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proofErr w:type="spellEnd"/>
            <w:r w:rsidR="00BC023D" w:rsidRPr="00E7404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983304" w:rsidRPr="00E74043">
              <w:rPr>
                <w:rFonts w:ascii="Arial" w:hAnsi="Arial" w:cs="Arial"/>
                <w:sz w:val="22"/>
                <w:szCs w:val="22"/>
                <w:lang w:val="en-GB"/>
              </w:rPr>
              <w:t xml:space="preserve">informed </w:t>
            </w:r>
            <w:r w:rsidR="001C1AC6" w:rsidRPr="00E74043">
              <w:rPr>
                <w:rFonts w:ascii="Arial" w:hAnsi="Arial" w:cs="Arial"/>
                <w:sz w:val="22"/>
                <w:szCs w:val="22"/>
                <w:lang w:val="en-GB"/>
              </w:rPr>
              <w:t xml:space="preserve">where they </w:t>
            </w:r>
            <w:r w:rsidR="00983304" w:rsidRPr="00E74043">
              <w:rPr>
                <w:rFonts w:ascii="Arial" w:hAnsi="Arial" w:cs="Arial"/>
                <w:sz w:val="22"/>
                <w:szCs w:val="22"/>
                <w:lang w:val="en-GB"/>
              </w:rPr>
              <w:t>are required to attend FPC to discuss cases</w:t>
            </w:r>
            <w:r w:rsidR="00976EF8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9918ED">
              <w:rPr>
                <w:rFonts w:ascii="Arial" w:hAnsi="Arial" w:cs="Arial"/>
                <w:sz w:val="22"/>
                <w:szCs w:val="22"/>
                <w:lang w:val="en-GB"/>
              </w:rPr>
              <w:t xml:space="preserve">  Notification includes information about cases to which </w:t>
            </w:r>
            <w:proofErr w:type="spellStart"/>
            <w:r w:rsidR="009918ED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proofErr w:type="spellEnd"/>
            <w:r w:rsidR="009918ED">
              <w:rPr>
                <w:rFonts w:ascii="Arial" w:hAnsi="Arial" w:cs="Arial"/>
                <w:sz w:val="22"/>
                <w:szCs w:val="22"/>
                <w:lang w:val="en-GB"/>
              </w:rPr>
              <w:t xml:space="preserve"> will be asked to speak.</w:t>
            </w:r>
          </w:p>
        </w:tc>
        <w:tc>
          <w:tcPr>
            <w:tcW w:w="1604" w:type="dxa"/>
          </w:tcPr>
          <w:p w14:paraId="2CE1F7A6" w14:textId="4774AAB4" w:rsidR="00D3509A" w:rsidRPr="002160BE" w:rsidRDefault="002160BE" w:rsidP="00FB7F1B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  <w:r w:rsidRPr="002160B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D3139" w:rsidRPr="002160BE">
              <w:rPr>
                <w:rFonts w:ascii="Arial" w:hAnsi="Arial" w:cs="Arial"/>
                <w:sz w:val="22"/>
                <w:szCs w:val="22"/>
                <w:lang w:val="en-GB"/>
              </w:rPr>
              <w:t>May 202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797D26" w:rsidRPr="00052755" w14:paraId="5FF5F805" w14:textId="77777777" w:rsidTr="007D3CFB">
        <w:tc>
          <w:tcPr>
            <w:tcW w:w="1211" w:type="dxa"/>
          </w:tcPr>
          <w:p w14:paraId="664C361C" w14:textId="77777777" w:rsidR="00C11CB7" w:rsidRPr="005349DC" w:rsidRDefault="00C11CB7" w:rsidP="005349DC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14C4BD58" w14:textId="3AE9D98A" w:rsidR="00C11CB7" w:rsidRPr="00763448" w:rsidRDefault="00C11CB7" w:rsidP="00296D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FPC meetings</w:t>
            </w:r>
            <w:r w:rsidR="001A531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C023D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r w:rsidR="001A531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C023D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proofErr w:type="spellEnd"/>
            <w:r w:rsidR="00BC023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C0B67"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 w:rsidR="00BC023D">
              <w:rPr>
                <w:rFonts w:ascii="Arial" w:hAnsi="Arial" w:cs="Arial"/>
                <w:sz w:val="22"/>
                <w:szCs w:val="22"/>
                <w:lang w:val="en-GB"/>
              </w:rPr>
              <w:t>Committee members</w:t>
            </w:r>
            <w:r w:rsidR="001C1AC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C0B67">
              <w:rPr>
                <w:rFonts w:ascii="Arial" w:hAnsi="Arial" w:cs="Arial"/>
                <w:sz w:val="22"/>
                <w:szCs w:val="22"/>
                <w:lang w:val="en-GB"/>
              </w:rPr>
              <w:t>to protect</w:t>
            </w:r>
            <w:r w:rsidR="001C1AC6">
              <w:rPr>
                <w:rFonts w:ascii="Arial" w:hAnsi="Arial" w:cs="Arial"/>
                <w:sz w:val="22"/>
                <w:szCs w:val="22"/>
                <w:lang w:val="en-GB"/>
              </w:rPr>
              <w:t xml:space="preserve"> date</w:t>
            </w:r>
            <w:r w:rsidR="00327D31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604" w:type="dxa"/>
          </w:tcPr>
          <w:p w14:paraId="5AA0A565" w14:textId="05CC5A45" w:rsidR="00C11CB7" w:rsidRPr="002160BE" w:rsidRDefault="008061D1" w:rsidP="003C799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13</w:t>
            </w:r>
            <w:r w:rsidRPr="008061D1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14</w:t>
            </w:r>
            <w:r w:rsidRPr="008061D1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23334" w:rsidRPr="002160BE">
              <w:rPr>
                <w:rFonts w:ascii="Arial" w:hAnsi="Arial" w:cs="Arial"/>
                <w:sz w:val="22"/>
                <w:szCs w:val="22"/>
                <w:lang w:val="en-GB"/>
              </w:rPr>
              <w:t>May 202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797D26" w:rsidRPr="00763448" w14:paraId="3FA59A56" w14:textId="77777777" w:rsidTr="007D3CFB">
        <w:tc>
          <w:tcPr>
            <w:tcW w:w="1211" w:type="dxa"/>
          </w:tcPr>
          <w:p w14:paraId="7A38B9F8" w14:textId="77777777" w:rsidR="00797D26" w:rsidRPr="005349DC" w:rsidRDefault="00797D26" w:rsidP="005349DC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6D435D58" w14:textId="2956637D" w:rsidR="00797D26" w:rsidRPr="00081AB5" w:rsidRDefault="00086D3D" w:rsidP="00FB7F1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Summary of p</w:t>
            </w:r>
            <w:r w:rsidR="00E74043" w:rsidRPr="00081AB5">
              <w:rPr>
                <w:rFonts w:ascii="Arial" w:hAnsi="Arial" w:cs="Arial"/>
                <w:sz w:val="22"/>
                <w:szCs w:val="22"/>
                <w:lang w:val="en-GB"/>
              </w:rPr>
              <w:t xml:space="preserve">romotion </w:t>
            </w:r>
            <w:r w:rsidR="005349DC">
              <w:rPr>
                <w:rFonts w:ascii="Arial" w:hAnsi="Arial" w:cs="Arial"/>
                <w:sz w:val="22"/>
                <w:szCs w:val="22"/>
                <w:lang w:val="en-GB"/>
              </w:rPr>
              <w:t xml:space="preserve">decisions </w:t>
            </w:r>
            <w:r w:rsidR="00797D26" w:rsidRPr="00081AB5">
              <w:rPr>
                <w:rFonts w:ascii="Arial" w:hAnsi="Arial" w:cs="Arial"/>
                <w:sz w:val="22"/>
                <w:szCs w:val="22"/>
                <w:lang w:val="en-GB"/>
              </w:rPr>
              <w:t xml:space="preserve">notified to </w:t>
            </w:r>
            <w:proofErr w:type="spellStart"/>
            <w:r w:rsidR="00797D26" w:rsidRPr="00081AB5"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proofErr w:type="spellEnd"/>
            <w:r w:rsidR="00E74043" w:rsidRPr="00081AB5">
              <w:rPr>
                <w:rFonts w:ascii="Arial" w:hAnsi="Arial" w:cs="Arial"/>
                <w:sz w:val="22"/>
                <w:szCs w:val="22"/>
                <w:lang w:val="en-GB"/>
              </w:rPr>
              <w:t xml:space="preserve"> by </w:t>
            </w:r>
            <w:r w:rsidR="00FB7F1B">
              <w:rPr>
                <w:rFonts w:ascii="Arial" w:hAnsi="Arial" w:cs="Arial"/>
                <w:sz w:val="22"/>
                <w:szCs w:val="22"/>
                <w:lang w:val="en-GB"/>
              </w:rPr>
              <w:t xml:space="preserve">People 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>Leader Advisory Team</w:t>
            </w:r>
            <w:r w:rsidR="00327D31" w:rsidRPr="00081AB5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435F59" w:rsidRPr="00081AB5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1604" w:type="dxa"/>
          </w:tcPr>
          <w:p w14:paraId="4C60FBB8" w14:textId="4DDF6807" w:rsidR="00797D26" w:rsidRPr="002160BE" w:rsidRDefault="002160BE" w:rsidP="0032333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160BE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  <w:r w:rsidRPr="002160B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  <w:r w:rsidRPr="002160B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23334" w:rsidRPr="002160BE">
              <w:rPr>
                <w:rFonts w:ascii="Arial" w:hAnsi="Arial" w:cs="Arial"/>
                <w:sz w:val="22"/>
                <w:szCs w:val="22"/>
                <w:lang w:val="en-GB"/>
              </w:rPr>
              <w:t>May 20</w:t>
            </w:r>
            <w:r w:rsidR="00940431" w:rsidRPr="002160BE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5349DC" w:rsidRPr="00763448" w14:paraId="763CACED" w14:textId="77777777" w:rsidTr="007D3CFB">
        <w:tc>
          <w:tcPr>
            <w:tcW w:w="1211" w:type="dxa"/>
          </w:tcPr>
          <w:p w14:paraId="4F1E9C93" w14:textId="77777777" w:rsidR="005349DC" w:rsidRPr="005349DC" w:rsidRDefault="005349DC" w:rsidP="005349DC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64698A3E" w14:textId="0701D0DD" w:rsidR="005349DC" w:rsidRPr="00081AB5" w:rsidRDefault="005349DC" w:rsidP="00FB7F1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Pending formal letters from </w:t>
            </w:r>
            <w:r w:rsidR="00FB7F1B">
              <w:rPr>
                <w:rFonts w:ascii="Arial" w:hAnsi="Arial" w:cs="Arial"/>
                <w:sz w:val="22"/>
                <w:szCs w:val="22"/>
                <w:lang w:val="en-GB"/>
              </w:rPr>
              <w:t xml:space="preserve">People </w:t>
            </w:r>
            <w:r w:rsidR="007F4E35">
              <w:rPr>
                <w:rFonts w:ascii="Arial" w:hAnsi="Arial" w:cs="Arial"/>
                <w:sz w:val="22"/>
                <w:szCs w:val="22"/>
                <w:lang w:val="en-GB"/>
              </w:rPr>
              <w:t>Services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F4E35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 xml:space="preserve"> People Advisory </w:t>
            </w:r>
            <w:r w:rsidR="007F4E35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to inform unsuccessful </w:t>
            </w:r>
            <w:r w:rsidR="006D3B9E">
              <w:rPr>
                <w:rFonts w:ascii="Arial" w:hAnsi="Arial" w:cs="Arial"/>
                <w:sz w:val="22"/>
                <w:szCs w:val="22"/>
                <w:lang w:val="en-GB"/>
              </w:rPr>
              <w:t xml:space="preserve">and successful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candidates of outcome.</w:t>
            </w:r>
          </w:p>
        </w:tc>
        <w:tc>
          <w:tcPr>
            <w:tcW w:w="1604" w:type="dxa"/>
          </w:tcPr>
          <w:p w14:paraId="3FE95A5E" w14:textId="3658C81D" w:rsidR="005349DC" w:rsidRPr="002160BE" w:rsidRDefault="002160BE" w:rsidP="0032333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160BE">
              <w:rPr>
                <w:rFonts w:ascii="Arial" w:hAnsi="Arial" w:cs="Arial"/>
                <w:sz w:val="22"/>
                <w:szCs w:val="22"/>
                <w:lang w:val="en-GB"/>
              </w:rPr>
              <w:t>22</w:t>
            </w:r>
            <w:r w:rsidRPr="002160B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nd</w:t>
            </w:r>
            <w:r w:rsidR="00323334" w:rsidRPr="002160BE">
              <w:rPr>
                <w:rFonts w:ascii="Arial" w:hAnsi="Arial" w:cs="Arial"/>
                <w:sz w:val="22"/>
                <w:szCs w:val="22"/>
                <w:lang w:val="en-GB"/>
              </w:rPr>
              <w:t xml:space="preserve"> May 20</w:t>
            </w:r>
            <w:r w:rsidR="00940431" w:rsidRPr="002160BE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7D3CFB" w:rsidRPr="00763448" w14:paraId="4ADC2D1F" w14:textId="77777777" w:rsidTr="007D3CFB">
        <w:tc>
          <w:tcPr>
            <w:tcW w:w="1211" w:type="dxa"/>
          </w:tcPr>
          <w:p w14:paraId="10C2E5B4" w14:textId="77777777" w:rsidR="007D3CFB" w:rsidRPr="005349DC" w:rsidRDefault="007D3CFB" w:rsidP="007D3CFB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1FF2E98F" w14:textId="5AA9DE8D" w:rsidR="007D3CFB" w:rsidRPr="00081AB5" w:rsidRDefault="007D3CFB" w:rsidP="007D3CFB">
            <w:pPr>
              <w:pStyle w:val="ListParagraph"/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81AB5">
              <w:rPr>
                <w:rFonts w:ascii="Arial" w:hAnsi="Arial" w:cs="Arial"/>
                <w:sz w:val="22"/>
                <w:szCs w:val="22"/>
                <w:lang w:val="en-GB"/>
              </w:rPr>
              <w:t xml:space="preserve">Unsuccessful candidates will be notified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in writing by People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 xml:space="preserve"> Leadership Advisor </w:t>
            </w:r>
            <w:r w:rsidR="007F4E35">
              <w:rPr>
                <w:rFonts w:ascii="Arial" w:hAnsi="Arial" w:cs="Arial"/>
                <w:sz w:val="22"/>
                <w:szCs w:val="22"/>
                <w:lang w:val="en-GB"/>
              </w:rPr>
              <w:t>Team, providing details of 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heir right of appeal </w:t>
            </w:r>
            <w:r w:rsidRPr="00081AB5">
              <w:rPr>
                <w:rFonts w:ascii="Arial" w:hAnsi="Arial" w:cs="Arial"/>
                <w:sz w:val="22"/>
                <w:szCs w:val="22"/>
                <w:lang w:val="en-GB"/>
              </w:rPr>
              <w:t>and offer</w:t>
            </w:r>
            <w:r w:rsidR="007F4E35">
              <w:rPr>
                <w:rFonts w:ascii="Arial" w:hAnsi="Arial" w:cs="Arial"/>
                <w:sz w:val="22"/>
                <w:szCs w:val="22"/>
                <w:lang w:val="en-GB"/>
              </w:rPr>
              <w:t>ing</w:t>
            </w:r>
            <w:r w:rsidRPr="00081AB5">
              <w:rPr>
                <w:rFonts w:ascii="Arial" w:hAnsi="Arial" w:cs="Arial"/>
                <w:sz w:val="22"/>
                <w:szCs w:val="22"/>
                <w:lang w:val="en-GB"/>
              </w:rPr>
              <w:t xml:space="preserve"> the option to meet with the Vice-President and Dean (or other person nominated by the Vice-President and Dean) to receive feedback.</w:t>
            </w:r>
          </w:p>
        </w:tc>
        <w:tc>
          <w:tcPr>
            <w:tcW w:w="1604" w:type="dxa"/>
          </w:tcPr>
          <w:p w14:paraId="44F6CB25" w14:textId="6FF26D4E" w:rsidR="007D3CFB" w:rsidRPr="002160BE" w:rsidRDefault="002160BE" w:rsidP="00323334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160BE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C53616" w:rsidRPr="00C53616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th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23334" w:rsidRPr="002160BE">
              <w:rPr>
                <w:rFonts w:ascii="Arial" w:hAnsi="Arial" w:cs="Arial"/>
                <w:sz w:val="22"/>
                <w:szCs w:val="22"/>
                <w:lang w:val="en-GB"/>
              </w:rPr>
              <w:t>May 202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</w:tr>
      <w:tr w:rsidR="007D3CFB" w:rsidRPr="00763448" w14:paraId="4BCD0AF7" w14:textId="77777777" w:rsidTr="007D3CFB">
        <w:tc>
          <w:tcPr>
            <w:tcW w:w="1211" w:type="dxa"/>
          </w:tcPr>
          <w:p w14:paraId="7BBBE090" w14:textId="77777777" w:rsidR="007D3CFB" w:rsidRPr="005349DC" w:rsidRDefault="007D3CFB" w:rsidP="007D3CFB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71A30080" w14:textId="6FCA47C1" w:rsidR="007D3CFB" w:rsidRDefault="007D3CFB" w:rsidP="007D3C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People </w:t>
            </w:r>
            <w:r w:rsidR="002160BE">
              <w:rPr>
                <w:rFonts w:ascii="Arial" w:hAnsi="Arial" w:cs="Arial"/>
                <w:sz w:val="22"/>
                <w:szCs w:val="22"/>
                <w:lang w:val="en-GB"/>
              </w:rPr>
              <w:t>Services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to write to successful candidates.</w:t>
            </w:r>
          </w:p>
        </w:tc>
        <w:tc>
          <w:tcPr>
            <w:tcW w:w="1604" w:type="dxa"/>
          </w:tcPr>
          <w:p w14:paraId="15572903" w14:textId="77777777" w:rsidR="007D3CFB" w:rsidRPr="001A531C" w:rsidRDefault="00A13F5A" w:rsidP="007D3CFB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531C">
              <w:rPr>
                <w:rFonts w:ascii="Arial" w:hAnsi="Arial" w:cs="Arial"/>
                <w:sz w:val="22"/>
                <w:szCs w:val="22"/>
                <w:lang w:val="en-GB"/>
              </w:rPr>
              <w:t>TBC</w:t>
            </w:r>
          </w:p>
        </w:tc>
      </w:tr>
      <w:tr w:rsidR="007D3CFB" w:rsidRPr="00763448" w14:paraId="1FFB5C21" w14:textId="77777777" w:rsidTr="007D3CFB">
        <w:tc>
          <w:tcPr>
            <w:tcW w:w="1211" w:type="dxa"/>
          </w:tcPr>
          <w:p w14:paraId="142A8C63" w14:textId="77777777" w:rsidR="007D3CFB" w:rsidRPr="005349DC" w:rsidRDefault="007D3CFB" w:rsidP="007D3CFB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3F585F99" w14:textId="77777777" w:rsidR="007D3CFB" w:rsidRPr="00081AB5" w:rsidRDefault="007D3CFB" w:rsidP="007D3CFB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Where requested, Vice President and Dean or nominee meets with unsuccessful candidates with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HoS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to provide feedback. </w:t>
            </w:r>
          </w:p>
        </w:tc>
        <w:tc>
          <w:tcPr>
            <w:tcW w:w="1604" w:type="dxa"/>
          </w:tcPr>
          <w:p w14:paraId="3C583BD0" w14:textId="77777777" w:rsidR="007D3CFB" w:rsidRPr="001A531C" w:rsidRDefault="00A13F5A" w:rsidP="007D3CFB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531C">
              <w:rPr>
                <w:rFonts w:ascii="Arial" w:hAnsi="Arial" w:cs="Arial"/>
                <w:sz w:val="22"/>
                <w:szCs w:val="22"/>
                <w:lang w:val="en-GB"/>
              </w:rPr>
              <w:t>TBC</w:t>
            </w:r>
          </w:p>
        </w:tc>
      </w:tr>
      <w:tr w:rsidR="007D3CFB" w:rsidRPr="00763448" w14:paraId="6D43343B" w14:textId="77777777" w:rsidTr="007D3CFB">
        <w:tc>
          <w:tcPr>
            <w:tcW w:w="1211" w:type="dxa"/>
          </w:tcPr>
          <w:p w14:paraId="090A0EFF" w14:textId="77777777" w:rsidR="007D3CFB" w:rsidRPr="005349DC" w:rsidRDefault="007D3CFB" w:rsidP="007D3CFB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815" w:type="dxa"/>
          </w:tcPr>
          <w:p w14:paraId="61EDF82B" w14:textId="3C73DBF6" w:rsidR="007D3CFB" w:rsidRPr="00763448" w:rsidRDefault="007D3CFB" w:rsidP="007D3CF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Dean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through 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 xml:space="preserve">People Advisor </w:t>
            </w:r>
            <w:r w:rsidR="002160BE">
              <w:rPr>
                <w:rFonts w:ascii="Arial" w:hAnsi="Arial" w:cs="Arial"/>
                <w:sz w:val="22"/>
                <w:szCs w:val="22"/>
                <w:lang w:val="en-GB"/>
              </w:rPr>
              <w:t>Team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submits report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on outcomes </w:t>
            </w:r>
            <w:r w:rsidRPr="00763448"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People</w:t>
            </w:r>
            <w:r w:rsidR="00C5361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Sub-Committee.</w:t>
            </w:r>
          </w:p>
        </w:tc>
        <w:tc>
          <w:tcPr>
            <w:tcW w:w="1604" w:type="dxa"/>
          </w:tcPr>
          <w:p w14:paraId="015677EB" w14:textId="77777777" w:rsidR="007D3CFB" w:rsidRPr="001A531C" w:rsidRDefault="007D3CFB" w:rsidP="007D3CFB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A531C">
              <w:rPr>
                <w:rFonts w:ascii="Arial" w:hAnsi="Arial" w:cs="Arial"/>
                <w:sz w:val="22"/>
                <w:szCs w:val="22"/>
                <w:lang w:val="en-GB"/>
              </w:rPr>
              <w:t>TBC</w:t>
            </w:r>
          </w:p>
        </w:tc>
      </w:tr>
    </w:tbl>
    <w:p w14:paraId="4637AEAD" w14:textId="77777777" w:rsidR="00327D31" w:rsidRDefault="00327D31">
      <w:pPr>
        <w:rPr>
          <w:rFonts w:ascii="Arial" w:hAnsi="Arial" w:cs="Arial"/>
          <w:i/>
          <w:sz w:val="22"/>
          <w:szCs w:val="22"/>
          <w:lang w:val="en-GB"/>
        </w:rPr>
      </w:pPr>
    </w:p>
    <w:p w14:paraId="6134EFCC" w14:textId="1FAF7E63" w:rsidR="00AE2D77" w:rsidRPr="001A531C" w:rsidRDefault="00BC023D">
      <w:pPr>
        <w:rPr>
          <w:rFonts w:ascii="Arial" w:hAnsi="Arial" w:cs="Arial"/>
          <w:i/>
          <w:sz w:val="20"/>
          <w:szCs w:val="20"/>
          <w:lang w:val="en-GB"/>
        </w:rPr>
      </w:pPr>
      <w:r w:rsidRPr="001A531C">
        <w:rPr>
          <w:rFonts w:ascii="Arial" w:hAnsi="Arial" w:cs="Arial"/>
          <w:i/>
          <w:sz w:val="20"/>
          <w:szCs w:val="20"/>
          <w:lang w:val="en-GB"/>
        </w:rPr>
        <w:t xml:space="preserve">N.B. </w:t>
      </w:r>
      <w:r w:rsidR="00AE2D77" w:rsidRPr="001A531C">
        <w:rPr>
          <w:rFonts w:ascii="Arial" w:hAnsi="Arial" w:cs="Arial"/>
          <w:i/>
          <w:sz w:val="20"/>
          <w:szCs w:val="20"/>
          <w:lang w:val="en-GB"/>
        </w:rPr>
        <w:t>Good Frid</w:t>
      </w:r>
      <w:r w:rsidR="00792C86" w:rsidRPr="001A531C">
        <w:rPr>
          <w:rFonts w:ascii="Arial" w:hAnsi="Arial" w:cs="Arial"/>
          <w:i/>
          <w:sz w:val="20"/>
          <w:szCs w:val="20"/>
          <w:lang w:val="en-GB"/>
        </w:rPr>
        <w:t>ay is</w:t>
      </w:r>
      <w:r w:rsidR="00F71F86" w:rsidRPr="001A531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C53616">
        <w:rPr>
          <w:rFonts w:ascii="Arial" w:hAnsi="Arial" w:cs="Arial"/>
          <w:i/>
          <w:sz w:val="20"/>
          <w:szCs w:val="20"/>
          <w:lang w:val="en-GB"/>
        </w:rPr>
        <w:t>3</w:t>
      </w:r>
      <w:r w:rsidR="00C53616" w:rsidRPr="00C53616">
        <w:rPr>
          <w:rFonts w:ascii="Arial" w:hAnsi="Arial" w:cs="Arial"/>
          <w:i/>
          <w:sz w:val="20"/>
          <w:szCs w:val="20"/>
          <w:vertAlign w:val="superscript"/>
          <w:lang w:val="en-GB"/>
        </w:rPr>
        <w:t>rd</w:t>
      </w:r>
      <w:r w:rsidR="00C5361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1A531C" w:rsidRPr="001A531C">
        <w:rPr>
          <w:rFonts w:ascii="Arial" w:hAnsi="Arial" w:cs="Arial"/>
          <w:i/>
          <w:sz w:val="20"/>
          <w:szCs w:val="20"/>
          <w:lang w:val="en-GB"/>
        </w:rPr>
        <w:t>April 202</w:t>
      </w:r>
      <w:r w:rsidR="00C53616">
        <w:rPr>
          <w:rFonts w:ascii="Arial" w:hAnsi="Arial" w:cs="Arial"/>
          <w:i/>
          <w:sz w:val="20"/>
          <w:szCs w:val="20"/>
          <w:lang w:val="en-GB"/>
        </w:rPr>
        <w:t>6</w:t>
      </w:r>
      <w:r w:rsidR="00792C86" w:rsidRPr="001A531C">
        <w:rPr>
          <w:rFonts w:ascii="Arial" w:hAnsi="Arial" w:cs="Arial"/>
          <w:i/>
          <w:sz w:val="20"/>
          <w:szCs w:val="20"/>
          <w:lang w:val="en-GB"/>
        </w:rPr>
        <w:t xml:space="preserve">; Easter Monday </w:t>
      </w:r>
      <w:r w:rsidR="003B3DA4" w:rsidRPr="001A531C">
        <w:rPr>
          <w:rFonts w:ascii="Arial" w:hAnsi="Arial" w:cs="Arial"/>
          <w:i/>
          <w:sz w:val="20"/>
          <w:szCs w:val="20"/>
          <w:lang w:val="en-GB"/>
        </w:rPr>
        <w:t xml:space="preserve">is </w:t>
      </w:r>
      <w:r w:rsidR="00C53616">
        <w:rPr>
          <w:rFonts w:ascii="Arial" w:hAnsi="Arial" w:cs="Arial"/>
          <w:i/>
          <w:sz w:val="20"/>
          <w:szCs w:val="20"/>
          <w:lang w:val="en-GB"/>
        </w:rPr>
        <w:t>6</w:t>
      </w:r>
      <w:r w:rsidR="00C53616" w:rsidRPr="00C53616">
        <w:rPr>
          <w:rFonts w:ascii="Arial" w:hAnsi="Arial" w:cs="Arial"/>
          <w:i/>
          <w:sz w:val="20"/>
          <w:szCs w:val="20"/>
          <w:vertAlign w:val="superscript"/>
          <w:lang w:val="en-GB"/>
        </w:rPr>
        <w:t>th</w:t>
      </w:r>
      <w:r w:rsidR="00C5361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F71F86" w:rsidRPr="001A531C">
        <w:rPr>
          <w:rFonts w:ascii="Arial" w:hAnsi="Arial" w:cs="Arial"/>
          <w:i/>
          <w:sz w:val="20"/>
          <w:szCs w:val="20"/>
          <w:lang w:val="en-GB"/>
        </w:rPr>
        <w:t>April</w:t>
      </w:r>
      <w:r w:rsidR="00A13F5A" w:rsidRPr="001A531C">
        <w:rPr>
          <w:rFonts w:ascii="Arial" w:hAnsi="Arial" w:cs="Arial"/>
          <w:i/>
          <w:sz w:val="20"/>
          <w:szCs w:val="20"/>
          <w:lang w:val="en-GB"/>
        </w:rPr>
        <w:t xml:space="preserve"> 202</w:t>
      </w:r>
      <w:r w:rsidR="00C53616">
        <w:rPr>
          <w:rFonts w:ascii="Arial" w:hAnsi="Arial" w:cs="Arial"/>
          <w:i/>
          <w:sz w:val="20"/>
          <w:szCs w:val="20"/>
          <w:lang w:val="en-GB"/>
        </w:rPr>
        <w:t>6</w:t>
      </w:r>
      <w:r w:rsidR="00FE3C91" w:rsidRPr="001A531C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sectPr w:rsidR="00AE2D77" w:rsidRPr="001A531C" w:rsidSect="00F078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7ABE" w14:textId="77777777" w:rsidR="005334A8" w:rsidRDefault="005334A8">
      <w:r>
        <w:separator/>
      </w:r>
    </w:p>
  </w:endnote>
  <w:endnote w:type="continuationSeparator" w:id="0">
    <w:p w14:paraId="13A41A17" w14:textId="77777777" w:rsidR="005334A8" w:rsidRDefault="0053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BDDE" w14:textId="77777777" w:rsidR="005334A8" w:rsidRDefault="005334A8">
      <w:r>
        <w:separator/>
      </w:r>
    </w:p>
  </w:footnote>
  <w:footnote w:type="continuationSeparator" w:id="0">
    <w:p w14:paraId="4830B6EB" w14:textId="77777777" w:rsidR="005334A8" w:rsidRDefault="00533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8B7"/>
    <w:multiLevelType w:val="hybridMultilevel"/>
    <w:tmpl w:val="18DAC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C3119"/>
    <w:multiLevelType w:val="hybridMultilevel"/>
    <w:tmpl w:val="78A27F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C90588"/>
    <w:multiLevelType w:val="hybridMultilevel"/>
    <w:tmpl w:val="CB18E9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7D1443"/>
    <w:multiLevelType w:val="hybridMultilevel"/>
    <w:tmpl w:val="26668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75F4"/>
    <w:multiLevelType w:val="hybridMultilevel"/>
    <w:tmpl w:val="AFD2BCC4"/>
    <w:lvl w:ilvl="0" w:tplc="AE020FE8">
      <w:start w:val="1"/>
      <w:numFmt w:val="lowerRoman"/>
      <w:lvlText w:val="(%1)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2636D81"/>
    <w:multiLevelType w:val="hybridMultilevel"/>
    <w:tmpl w:val="5726D8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751F84"/>
    <w:multiLevelType w:val="hybridMultilevel"/>
    <w:tmpl w:val="73C27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C481B"/>
    <w:multiLevelType w:val="hybridMultilevel"/>
    <w:tmpl w:val="02E44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4487D"/>
    <w:multiLevelType w:val="hybridMultilevel"/>
    <w:tmpl w:val="7884F948"/>
    <w:lvl w:ilvl="0" w:tplc="AE020FE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1D30C0"/>
    <w:multiLevelType w:val="hybridMultilevel"/>
    <w:tmpl w:val="EB7A3F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2C42A1"/>
    <w:multiLevelType w:val="hybridMultilevel"/>
    <w:tmpl w:val="A3D0CF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8D866AE"/>
    <w:multiLevelType w:val="hybridMultilevel"/>
    <w:tmpl w:val="21F871B0"/>
    <w:lvl w:ilvl="0" w:tplc="B3C2B03A">
      <w:start w:val="1"/>
      <w:numFmt w:val="lowerRoman"/>
      <w:lvlText w:val="(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627513631">
    <w:abstractNumId w:val="8"/>
  </w:num>
  <w:num w:numId="2" w16cid:durableId="912856973">
    <w:abstractNumId w:val="11"/>
  </w:num>
  <w:num w:numId="3" w16cid:durableId="124739704">
    <w:abstractNumId w:val="2"/>
  </w:num>
  <w:num w:numId="4" w16cid:durableId="965699807">
    <w:abstractNumId w:val="10"/>
  </w:num>
  <w:num w:numId="5" w16cid:durableId="1886677132">
    <w:abstractNumId w:val="9"/>
  </w:num>
  <w:num w:numId="6" w16cid:durableId="1639723559">
    <w:abstractNumId w:val="5"/>
  </w:num>
  <w:num w:numId="7" w16cid:durableId="417336196">
    <w:abstractNumId w:val="1"/>
  </w:num>
  <w:num w:numId="8" w16cid:durableId="810824720">
    <w:abstractNumId w:val="3"/>
  </w:num>
  <w:num w:numId="9" w16cid:durableId="1654330823">
    <w:abstractNumId w:val="0"/>
  </w:num>
  <w:num w:numId="10" w16cid:durableId="208228955">
    <w:abstractNumId w:val="6"/>
  </w:num>
  <w:num w:numId="11" w16cid:durableId="1945381877">
    <w:abstractNumId w:val="7"/>
  </w:num>
  <w:num w:numId="12" w16cid:durableId="1495417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7F"/>
    <w:rsid w:val="00005ACA"/>
    <w:rsid w:val="00007367"/>
    <w:rsid w:val="000153A1"/>
    <w:rsid w:val="00015B49"/>
    <w:rsid w:val="00026FF9"/>
    <w:rsid w:val="00031FDF"/>
    <w:rsid w:val="000339A0"/>
    <w:rsid w:val="00052755"/>
    <w:rsid w:val="00057911"/>
    <w:rsid w:val="000607BF"/>
    <w:rsid w:val="00081AB5"/>
    <w:rsid w:val="00086D3D"/>
    <w:rsid w:val="000A1C0B"/>
    <w:rsid w:val="000A2DA4"/>
    <w:rsid w:val="000B41BF"/>
    <w:rsid w:val="000B68B5"/>
    <w:rsid w:val="000C0054"/>
    <w:rsid w:val="000D029D"/>
    <w:rsid w:val="000D4D02"/>
    <w:rsid w:val="000F549D"/>
    <w:rsid w:val="001055E5"/>
    <w:rsid w:val="00116689"/>
    <w:rsid w:val="00131FC6"/>
    <w:rsid w:val="00133E05"/>
    <w:rsid w:val="001363E6"/>
    <w:rsid w:val="001401D0"/>
    <w:rsid w:val="00172A2E"/>
    <w:rsid w:val="001805AF"/>
    <w:rsid w:val="00183DB3"/>
    <w:rsid w:val="001872D6"/>
    <w:rsid w:val="00193A0A"/>
    <w:rsid w:val="001A531C"/>
    <w:rsid w:val="001B0867"/>
    <w:rsid w:val="001B155E"/>
    <w:rsid w:val="001C1AC6"/>
    <w:rsid w:val="001E21D8"/>
    <w:rsid w:val="001F0B66"/>
    <w:rsid w:val="001F15D3"/>
    <w:rsid w:val="001F37C8"/>
    <w:rsid w:val="00207C26"/>
    <w:rsid w:val="00210A77"/>
    <w:rsid w:val="00214335"/>
    <w:rsid w:val="002160BE"/>
    <w:rsid w:val="0022109C"/>
    <w:rsid w:val="00236D5D"/>
    <w:rsid w:val="00241F84"/>
    <w:rsid w:val="00245574"/>
    <w:rsid w:val="002478EB"/>
    <w:rsid w:val="00256C3B"/>
    <w:rsid w:val="00272A2A"/>
    <w:rsid w:val="00287504"/>
    <w:rsid w:val="00296DAA"/>
    <w:rsid w:val="002B111D"/>
    <w:rsid w:val="002D0E89"/>
    <w:rsid w:val="002D5467"/>
    <w:rsid w:val="002F6327"/>
    <w:rsid w:val="00306B8B"/>
    <w:rsid w:val="00321DD3"/>
    <w:rsid w:val="00323334"/>
    <w:rsid w:val="00327D31"/>
    <w:rsid w:val="0033024D"/>
    <w:rsid w:val="00335EC7"/>
    <w:rsid w:val="00343B34"/>
    <w:rsid w:val="00364475"/>
    <w:rsid w:val="003655C8"/>
    <w:rsid w:val="003739F5"/>
    <w:rsid w:val="00376941"/>
    <w:rsid w:val="00381DDE"/>
    <w:rsid w:val="0038617F"/>
    <w:rsid w:val="00392544"/>
    <w:rsid w:val="003960A5"/>
    <w:rsid w:val="003A457D"/>
    <w:rsid w:val="003A5AF3"/>
    <w:rsid w:val="003B3DA4"/>
    <w:rsid w:val="003B7F13"/>
    <w:rsid w:val="003C2BE5"/>
    <w:rsid w:val="003C722D"/>
    <w:rsid w:val="003C7993"/>
    <w:rsid w:val="003D0590"/>
    <w:rsid w:val="003D279C"/>
    <w:rsid w:val="003E4A4A"/>
    <w:rsid w:val="003F1AE9"/>
    <w:rsid w:val="003F53E8"/>
    <w:rsid w:val="00423263"/>
    <w:rsid w:val="00427974"/>
    <w:rsid w:val="00435F59"/>
    <w:rsid w:val="00436C4D"/>
    <w:rsid w:val="00461FA1"/>
    <w:rsid w:val="0046779A"/>
    <w:rsid w:val="00483744"/>
    <w:rsid w:val="004B160B"/>
    <w:rsid w:val="004B4796"/>
    <w:rsid w:val="004B5B77"/>
    <w:rsid w:val="004C0B67"/>
    <w:rsid w:val="004E2B0C"/>
    <w:rsid w:val="004F1D1C"/>
    <w:rsid w:val="00503006"/>
    <w:rsid w:val="0050541A"/>
    <w:rsid w:val="005124B1"/>
    <w:rsid w:val="00512BBA"/>
    <w:rsid w:val="005213CA"/>
    <w:rsid w:val="005334A8"/>
    <w:rsid w:val="005349DC"/>
    <w:rsid w:val="0053630C"/>
    <w:rsid w:val="00546805"/>
    <w:rsid w:val="00562E89"/>
    <w:rsid w:val="0056467E"/>
    <w:rsid w:val="00564FFE"/>
    <w:rsid w:val="0058653A"/>
    <w:rsid w:val="00586A66"/>
    <w:rsid w:val="0059408B"/>
    <w:rsid w:val="005C0C6F"/>
    <w:rsid w:val="005C16E2"/>
    <w:rsid w:val="005E0F0F"/>
    <w:rsid w:val="005E65C3"/>
    <w:rsid w:val="005F4A4F"/>
    <w:rsid w:val="00631EA6"/>
    <w:rsid w:val="0063567B"/>
    <w:rsid w:val="0063624D"/>
    <w:rsid w:val="00636DB9"/>
    <w:rsid w:val="00636E5F"/>
    <w:rsid w:val="00642AFC"/>
    <w:rsid w:val="00663268"/>
    <w:rsid w:val="00680E57"/>
    <w:rsid w:val="00687216"/>
    <w:rsid w:val="006931BB"/>
    <w:rsid w:val="006B1D82"/>
    <w:rsid w:val="006B6A8F"/>
    <w:rsid w:val="006D3B9E"/>
    <w:rsid w:val="006D3C86"/>
    <w:rsid w:val="006E665E"/>
    <w:rsid w:val="006F63A5"/>
    <w:rsid w:val="00710874"/>
    <w:rsid w:val="00723677"/>
    <w:rsid w:val="007309E2"/>
    <w:rsid w:val="00740805"/>
    <w:rsid w:val="0075065F"/>
    <w:rsid w:val="00754524"/>
    <w:rsid w:val="00760266"/>
    <w:rsid w:val="00763448"/>
    <w:rsid w:val="00791792"/>
    <w:rsid w:val="007917F4"/>
    <w:rsid w:val="00792C86"/>
    <w:rsid w:val="007975EA"/>
    <w:rsid w:val="00797D26"/>
    <w:rsid w:val="007B650A"/>
    <w:rsid w:val="007D3CFB"/>
    <w:rsid w:val="007E4E58"/>
    <w:rsid w:val="007F4E35"/>
    <w:rsid w:val="007F665E"/>
    <w:rsid w:val="008061D1"/>
    <w:rsid w:val="00813963"/>
    <w:rsid w:val="008205DC"/>
    <w:rsid w:val="00834AD9"/>
    <w:rsid w:val="0085400A"/>
    <w:rsid w:val="008560E8"/>
    <w:rsid w:val="00862B71"/>
    <w:rsid w:val="008632DC"/>
    <w:rsid w:val="00875C52"/>
    <w:rsid w:val="00884354"/>
    <w:rsid w:val="00891736"/>
    <w:rsid w:val="008A56B1"/>
    <w:rsid w:val="008C3AF6"/>
    <w:rsid w:val="008D5B98"/>
    <w:rsid w:val="008D7988"/>
    <w:rsid w:val="008F3D52"/>
    <w:rsid w:val="00913886"/>
    <w:rsid w:val="0092061F"/>
    <w:rsid w:val="00922B14"/>
    <w:rsid w:val="00922F10"/>
    <w:rsid w:val="00923AA0"/>
    <w:rsid w:val="009369A4"/>
    <w:rsid w:val="00940431"/>
    <w:rsid w:val="00951827"/>
    <w:rsid w:val="0095372A"/>
    <w:rsid w:val="00957E4C"/>
    <w:rsid w:val="00960C67"/>
    <w:rsid w:val="0097608B"/>
    <w:rsid w:val="00976EF8"/>
    <w:rsid w:val="00983304"/>
    <w:rsid w:val="00983D44"/>
    <w:rsid w:val="009918ED"/>
    <w:rsid w:val="00996FDC"/>
    <w:rsid w:val="009A07B8"/>
    <w:rsid w:val="009C41B0"/>
    <w:rsid w:val="009C6251"/>
    <w:rsid w:val="009E298C"/>
    <w:rsid w:val="009F47FF"/>
    <w:rsid w:val="00A0018D"/>
    <w:rsid w:val="00A046FF"/>
    <w:rsid w:val="00A13F5A"/>
    <w:rsid w:val="00A26B9B"/>
    <w:rsid w:val="00A2709C"/>
    <w:rsid w:val="00A41D88"/>
    <w:rsid w:val="00A51048"/>
    <w:rsid w:val="00A53253"/>
    <w:rsid w:val="00A53F48"/>
    <w:rsid w:val="00A6737F"/>
    <w:rsid w:val="00A842E7"/>
    <w:rsid w:val="00A8497E"/>
    <w:rsid w:val="00A90AF2"/>
    <w:rsid w:val="00A9273C"/>
    <w:rsid w:val="00AA1D72"/>
    <w:rsid w:val="00AB0CCB"/>
    <w:rsid w:val="00AD646D"/>
    <w:rsid w:val="00AD713F"/>
    <w:rsid w:val="00AE2D77"/>
    <w:rsid w:val="00AF0714"/>
    <w:rsid w:val="00AF3E73"/>
    <w:rsid w:val="00B005A8"/>
    <w:rsid w:val="00B035AB"/>
    <w:rsid w:val="00B12A33"/>
    <w:rsid w:val="00B323DB"/>
    <w:rsid w:val="00B42F91"/>
    <w:rsid w:val="00B57A67"/>
    <w:rsid w:val="00B6718A"/>
    <w:rsid w:val="00B707AB"/>
    <w:rsid w:val="00B74B33"/>
    <w:rsid w:val="00B95037"/>
    <w:rsid w:val="00BA1DC0"/>
    <w:rsid w:val="00BA4A7B"/>
    <w:rsid w:val="00BB137C"/>
    <w:rsid w:val="00BB4EFA"/>
    <w:rsid w:val="00BC023D"/>
    <w:rsid w:val="00BC0CC5"/>
    <w:rsid w:val="00BC3A3E"/>
    <w:rsid w:val="00BD231A"/>
    <w:rsid w:val="00BE3BC9"/>
    <w:rsid w:val="00BF608C"/>
    <w:rsid w:val="00C0277E"/>
    <w:rsid w:val="00C07B4C"/>
    <w:rsid w:val="00C11CB7"/>
    <w:rsid w:val="00C24DBD"/>
    <w:rsid w:val="00C24EA6"/>
    <w:rsid w:val="00C37DAD"/>
    <w:rsid w:val="00C43851"/>
    <w:rsid w:val="00C443F6"/>
    <w:rsid w:val="00C53616"/>
    <w:rsid w:val="00C630DE"/>
    <w:rsid w:val="00C8713B"/>
    <w:rsid w:val="00C97150"/>
    <w:rsid w:val="00CA0BF7"/>
    <w:rsid w:val="00CB4CF6"/>
    <w:rsid w:val="00CD03FF"/>
    <w:rsid w:val="00CD414B"/>
    <w:rsid w:val="00CE24C4"/>
    <w:rsid w:val="00CE4415"/>
    <w:rsid w:val="00D028FB"/>
    <w:rsid w:val="00D02CDC"/>
    <w:rsid w:val="00D16C59"/>
    <w:rsid w:val="00D2284D"/>
    <w:rsid w:val="00D3509A"/>
    <w:rsid w:val="00D40043"/>
    <w:rsid w:val="00D46A6F"/>
    <w:rsid w:val="00D522AB"/>
    <w:rsid w:val="00D55780"/>
    <w:rsid w:val="00D63470"/>
    <w:rsid w:val="00D663F0"/>
    <w:rsid w:val="00DB6A20"/>
    <w:rsid w:val="00DC3C03"/>
    <w:rsid w:val="00DC589E"/>
    <w:rsid w:val="00DC5A9C"/>
    <w:rsid w:val="00DC6B45"/>
    <w:rsid w:val="00DD3139"/>
    <w:rsid w:val="00DD478D"/>
    <w:rsid w:val="00DE2526"/>
    <w:rsid w:val="00DE7C96"/>
    <w:rsid w:val="00E0202C"/>
    <w:rsid w:val="00E065C4"/>
    <w:rsid w:val="00E2719D"/>
    <w:rsid w:val="00E34951"/>
    <w:rsid w:val="00E4475C"/>
    <w:rsid w:val="00E46DDE"/>
    <w:rsid w:val="00E51689"/>
    <w:rsid w:val="00E61BBC"/>
    <w:rsid w:val="00E65B1F"/>
    <w:rsid w:val="00E74043"/>
    <w:rsid w:val="00E95BF4"/>
    <w:rsid w:val="00E96B1B"/>
    <w:rsid w:val="00E977F4"/>
    <w:rsid w:val="00EA51AC"/>
    <w:rsid w:val="00EC32BB"/>
    <w:rsid w:val="00EC3EDB"/>
    <w:rsid w:val="00EC6C98"/>
    <w:rsid w:val="00EC7DBE"/>
    <w:rsid w:val="00EE200F"/>
    <w:rsid w:val="00EE7526"/>
    <w:rsid w:val="00EF67C2"/>
    <w:rsid w:val="00F0787F"/>
    <w:rsid w:val="00F14402"/>
    <w:rsid w:val="00F40749"/>
    <w:rsid w:val="00F4367F"/>
    <w:rsid w:val="00F52376"/>
    <w:rsid w:val="00F53C23"/>
    <w:rsid w:val="00F7117C"/>
    <w:rsid w:val="00F71F86"/>
    <w:rsid w:val="00F80C09"/>
    <w:rsid w:val="00FB040A"/>
    <w:rsid w:val="00FB7F1B"/>
    <w:rsid w:val="00FC6C52"/>
    <w:rsid w:val="00FD65BD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08AD4727"/>
  <w15:docId w15:val="{A1652E0B-F690-4D05-B3F1-46942D83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87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0F0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8D798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D7988"/>
    <w:rPr>
      <w:vertAlign w:val="superscript"/>
    </w:rPr>
  </w:style>
  <w:style w:type="paragraph" w:styleId="Header">
    <w:name w:val="header"/>
    <w:basedOn w:val="Normal"/>
    <w:rsid w:val="000D4D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4D0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97D26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E74043"/>
    <w:rPr>
      <w:lang w:val="en-US" w:eastAsia="en-US"/>
    </w:rPr>
  </w:style>
  <w:style w:type="character" w:styleId="CommentReference">
    <w:name w:val="annotation reference"/>
    <w:basedOn w:val="DefaultParagraphFont"/>
    <w:rsid w:val="008139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39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396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13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396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987DD-1123-4B7A-A02A-98DED2CA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2376</Characters>
  <Application>Microsoft Office Word</Application>
  <DocSecurity>0</DocSecurity>
  <Lines>108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Humanities</vt:lpstr>
    </vt:vector>
  </TitlesOfParts>
  <Company>University of Manchester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Humanities</dc:title>
  <dc:creator>mppusau2</dc:creator>
  <cp:lastModifiedBy>Joanne Davidson</cp:lastModifiedBy>
  <cp:revision>2</cp:revision>
  <cp:lastPrinted>2017-09-20T12:50:00Z</cp:lastPrinted>
  <dcterms:created xsi:type="dcterms:W3CDTF">2025-10-23T10:28:00Z</dcterms:created>
  <dcterms:modified xsi:type="dcterms:W3CDTF">2025-10-23T10:28:00Z</dcterms:modified>
</cp:coreProperties>
</file>