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B7" w:rsidRPr="00763448" w:rsidRDefault="00C11CB7">
      <w:pPr>
        <w:jc w:val="center"/>
        <w:rPr>
          <w:rFonts w:ascii="Arial" w:hAnsi="Arial" w:cs="Arial"/>
          <w:b/>
          <w:u w:val="single"/>
          <w:lang w:val="en-GB"/>
        </w:rPr>
      </w:pPr>
      <w:r w:rsidRPr="00763448">
        <w:rPr>
          <w:rFonts w:ascii="Arial" w:hAnsi="Arial" w:cs="Arial"/>
          <w:b/>
          <w:u w:val="single"/>
          <w:lang w:val="en-GB"/>
        </w:rPr>
        <w:t>Faculty of Humanities</w:t>
      </w:r>
      <w:r w:rsidR="00327D31">
        <w:rPr>
          <w:rFonts w:ascii="Arial" w:hAnsi="Arial" w:cs="Arial"/>
          <w:b/>
          <w:u w:val="single"/>
          <w:lang w:val="en-GB"/>
        </w:rPr>
        <w:t>-Academic P</w:t>
      </w:r>
      <w:bookmarkStart w:id="0" w:name="_GoBack"/>
      <w:bookmarkEnd w:id="0"/>
      <w:r w:rsidR="00327D31">
        <w:rPr>
          <w:rFonts w:ascii="Arial" w:hAnsi="Arial" w:cs="Arial"/>
          <w:b/>
          <w:u w:val="single"/>
          <w:lang w:val="en-GB"/>
        </w:rPr>
        <w:t>romotions 2013/14</w:t>
      </w:r>
    </w:p>
    <w:p w:rsidR="00C11CB7" w:rsidRPr="00763448" w:rsidRDefault="00C11CB7">
      <w:pPr>
        <w:jc w:val="center"/>
        <w:rPr>
          <w:rFonts w:ascii="Arial" w:hAnsi="Arial" w:cs="Arial"/>
          <w:b/>
          <w:u w:val="single"/>
          <w:lang w:val="en-GB"/>
        </w:rPr>
      </w:pPr>
    </w:p>
    <w:p w:rsidR="00C11CB7" w:rsidRPr="00763448" w:rsidRDefault="00BC023D" w:rsidP="001872D6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b/>
          <w:u w:val="single"/>
          <w:lang w:val="en-GB"/>
        </w:rPr>
        <w:t>T</w:t>
      </w:r>
      <w:r w:rsidR="00C11CB7" w:rsidRPr="00763448">
        <w:rPr>
          <w:rFonts w:ascii="Arial" w:hAnsi="Arial" w:cs="Arial"/>
          <w:b/>
          <w:u w:val="single"/>
          <w:lang w:val="en-GB"/>
        </w:rPr>
        <w:t xml:space="preserve">imetable for </w:t>
      </w:r>
      <w:r w:rsidR="00797D26">
        <w:rPr>
          <w:rFonts w:ascii="Arial" w:hAnsi="Arial" w:cs="Arial"/>
          <w:b/>
          <w:u w:val="single"/>
          <w:lang w:val="en-GB"/>
        </w:rPr>
        <w:t>(</w:t>
      </w:r>
      <w:proofErr w:type="spellStart"/>
      <w:r w:rsidR="00797D26">
        <w:rPr>
          <w:rFonts w:ascii="Arial" w:hAnsi="Arial" w:cs="Arial"/>
          <w:b/>
          <w:u w:val="single"/>
          <w:lang w:val="en-GB"/>
        </w:rPr>
        <w:t>i</w:t>
      </w:r>
      <w:proofErr w:type="spellEnd"/>
      <w:r w:rsidR="00797D26">
        <w:rPr>
          <w:rFonts w:ascii="Arial" w:hAnsi="Arial" w:cs="Arial"/>
          <w:b/>
          <w:u w:val="single"/>
          <w:lang w:val="en-GB"/>
        </w:rPr>
        <w:t xml:space="preserve">) </w:t>
      </w:r>
      <w:r w:rsidR="00C11CB7" w:rsidRPr="00763448">
        <w:rPr>
          <w:rFonts w:ascii="Arial" w:hAnsi="Arial" w:cs="Arial"/>
          <w:b/>
          <w:u w:val="single"/>
          <w:lang w:val="en-GB"/>
        </w:rPr>
        <w:t xml:space="preserve">Promotions </w:t>
      </w:r>
      <w:r w:rsidR="00BC3A3E">
        <w:rPr>
          <w:rFonts w:ascii="Arial" w:hAnsi="Arial" w:cs="Arial"/>
          <w:b/>
          <w:u w:val="single"/>
          <w:lang w:val="en-GB"/>
        </w:rPr>
        <w:t>to</w:t>
      </w:r>
      <w:r w:rsidR="00C11CB7" w:rsidRPr="00763448">
        <w:rPr>
          <w:rFonts w:ascii="Arial" w:hAnsi="Arial" w:cs="Arial"/>
          <w:b/>
          <w:u w:val="single"/>
          <w:lang w:val="en-GB"/>
        </w:rPr>
        <w:t xml:space="preserve"> </w:t>
      </w:r>
      <w:r w:rsidR="006B1D82">
        <w:rPr>
          <w:rFonts w:ascii="Arial" w:hAnsi="Arial" w:cs="Arial"/>
          <w:b/>
          <w:u w:val="single"/>
          <w:lang w:val="en-GB"/>
        </w:rPr>
        <w:t xml:space="preserve">Grade 7 </w:t>
      </w:r>
      <w:r w:rsidR="00642AFC">
        <w:rPr>
          <w:rFonts w:ascii="Arial" w:hAnsi="Arial" w:cs="Arial"/>
          <w:b/>
          <w:u w:val="single"/>
          <w:lang w:val="en-GB"/>
        </w:rPr>
        <w:t xml:space="preserve">Lecturer </w:t>
      </w:r>
      <w:r w:rsidR="00327D31">
        <w:rPr>
          <w:rFonts w:ascii="Arial" w:hAnsi="Arial" w:cs="Arial"/>
          <w:b/>
          <w:u w:val="single"/>
          <w:lang w:val="en-GB"/>
        </w:rPr>
        <w:t xml:space="preserve">(Teaching &amp; Scholarship) </w:t>
      </w:r>
      <w:r w:rsidR="00D16C59">
        <w:rPr>
          <w:rFonts w:ascii="Arial" w:hAnsi="Arial" w:cs="Arial"/>
          <w:b/>
          <w:u w:val="single"/>
          <w:lang w:val="en-GB"/>
        </w:rPr>
        <w:t>&amp; (Teaching &amp; Research)</w:t>
      </w:r>
      <w:proofErr w:type="gramStart"/>
      <w:r w:rsidR="00642AFC">
        <w:rPr>
          <w:rFonts w:ascii="Arial" w:hAnsi="Arial" w:cs="Arial"/>
          <w:b/>
          <w:u w:val="single"/>
          <w:lang w:val="en-GB"/>
        </w:rPr>
        <w:t xml:space="preserve">, </w:t>
      </w:r>
      <w:r w:rsidR="006B1D82">
        <w:rPr>
          <w:rFonts w:ascii="Arial" w:hAnsi="Arial" w:cs="Arial"/>
          <w:b/>
          <w:u w:val="single"/>
          <w:lang w:val="en-GB"/>
        </w:rPr>
        <w:t xml:space="preserve"> </w:t>
      </w:r>
      <w:r w:rsidR="00642AFC">
        <w:rPr>
          <w:rFonts w:ascii="Arial" w:hAnsi="Arial" w:cs="Arial"/>
          <w:b/>
          <w:u w:val="single"/>
          <w:lang w:val="en-GB"/>
        </w:rPr>
        <w:t>Research</w:t>
      </w:r>
      <w:proofErr w:type="gramEnd"/>
      <w:r w:rsidR="00642AFC">
        <w:rPr>
          <w:rFonts w:ascii="Arial" w:hAnsi="Arial" w:cs="Arial"/>
          <w:b/>
          <w:u w:val="single"/>
          <w:lang w:val="en-GB"/>
        </w:rPr>
        <w:t xml:space="preserve"> Fellow, </w:t>
      </w:r>
      <w:r w:rsidR="00287504">
        <w:rPr>
          <w:rFonts w:ascii="Arial" w:hAnsi="Arial" w:cs="Arial"/>
          <w:b/>
          <w:u w:val="single"/>
          <w:lang w:val="en-GB"/>
        </w:rPr>
        <w:t>Senior Lecturer</w:t>
      </w:r>
      <w:r w:rsidR="001E21D8">
        <w:rPr>
          <w:rFonts w:ascii="Arial" w:hAnsi="Arial" w:cs="Arial"/>
          <w:b/>
          <w:u w:val="single"/>
          <w:lang w:val="en-GB"/>
        </w:rPr>
        <w:t xml:space="preserve">, </w:t>
      </w:r>
      <w:r w:rsidR="00287504">
        <w:rPr>
          <w:rFonts w:ascii="Arial" w:hAnsi="Arial" w:cs="Arial"/>
          <w:b/>
          <w:u w:val="single"/>
          <w:lang w:val="en-GB"/>
        </w:rPr>
        <w:t>Reader</w:t>
      </w:r>
      <w:r w:rsidR="001E21D8">
        <w:rPr>
          <w:rFonts w:ascii="Arial" w:hAnsi="Arial" w:cs="Arial"/>
          <w:b/>
          <w:u w:val="single"/>
          <w:lang w:val="en-GB"/>
        </w:rPr>
        <w:t xml:space="preserve"> and </w:t>
      </w:r>
      <w:r w:rsidR="00287504">
        <w:rPr>
          <w:rFonts w:ascii="Arial" w:hAnsi="Arial" w:cs="Arial"/>
          <w:b/>
          <w:u w:val="single"/>
          <w:lang w:val="en-GB"/>
        </w:rPr>
        <w:t xml:space="preserve">Professor </w:t>
      </w:r>
      <w:r w:rsidR="00797D26">
        <w:rPr>
          <w:rFonts w:ascii="Arial" w:hAnsi="Arial" w:cs="Arial"/>
          <w:b/>
          <w:u w:val="single"/>
          <w:lang w:val="en-GB"/>
        </w:rPr>
        <w:t xml:space="preserve">and (ii) </w:t>
      </w:r>
      <w:r w:rsidR="00327D31">
        <w:rPr>
          <w:rFonts w:ascii="Arial" w:hAnsi="Arial" w:cs="Arial"/>
          <w:b/>
          <w:u w:val="single"/>
          <w:lang w:val="en-GB"/>
        </w:rPr>
        <w:t xml:space="preserve">for </w:t>
      </w:r>
      <w:r w:rsidR="0058653A">
        <w:rPr>
          <w:rFonts w:ascii="Arial" w:hAnsi="Arial" w:cs="Arial"/>
          <w:b/>
          <w:u w:val="single"/>
          <w:lang w:val="en-GB"/>
        </w:rPr>
        <w:t xml:space="preserve">submission and </w:t>
      </w:r>
      <w:r w:rsidR="00797D26">
        <w:rPr>
          <w:rFonts w:ascii="Arial" w:hAnsi="Arial" w:cs="Arial"/>
          <w:b/>
          <w:u w:val="single"/>
          <w:lang w:val="en-GB"/>
        </w:rPr>
        <w:t xml:space="preserve">consideration of cases for academic and research staff under the </w:t>
      </w:r>
      <w:r w:rsidR="00797D26" w:rsidRPr="00797D26">
        <w:rPr>
          <w:rFonts w:ascii="Arial" w:hAnsi="Arial" w:cs="Arial"/>
          <w:b/>
          <w:u w:val="single"/>
          <w:lang w:val="en-GB"/>
        </w:rPr>
        <w:t>Recognising and Rewarding Exceptional Performance (RREP) Policy</w:t>
      </w:r>
    </w:p>
    <w:p w:rsidR="00C11CB7" w:rsidRPr="00763448" w:rsidRDefault="00C11CB7">
      <w:pPr>
        <w:jc w:val="center"/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992"/>
        <w:gridCol w:w="1622"/>
      </w:tblGrid>
      <w:tr w:rsidR="00797D26" w:rsidRPr="00763448" w:rsidTr="00891736">
        <w:tc>
          <w:tcPr>
            <w:tcW w:w="1242" w:type="dxa"/>
          </w:tcPr>
          <w:p w:rsidR="00C11CB7" w:rsidRPr="00B57A67" w:rsidRDefault="00C11CB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57A67">
              <w:rPr>
                <w:rFonts w:ascii="Arial" w:hAnsi="Arial" w:cs="Arial"/>
                <w:b/>
                <w:sz w:val="22"/>
                <w:szCs w:val="22"/>
                <w:lang w:val="en-GB"/>
              </w:rPr>
              <w:t>Key Date No.</w:t>
            </w:r>
          </w:p>
        </w:tc>
        <w:tc>
          <w:tcPr>
            <w:tcW w:w="5992" w:type="dxa"/>
          </w:tcPr>
          <w:p w:rsidR="00C11CB7" w:rsidRPr="00B57A67" w:rsidRDefault="00C11CB7" w:rsidP="0058653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57A67">
              <w:rPr>
                <w:rFonts w:ascii="Arial" w:hAnsi="Arial" w:cs="Arial"/>
                <w:b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1622" w:type="dxa"/>
          </w:tcPr>
          <w:p w:rsidR="00C11CB7" w:rsidRPr="00B57A67" w:rsidRDefault="00C11CB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57A67">
              <w:rPr>
                <w:rFonts w:ascii="Arial" w:hAnsi="Arial" w:cs="Arial"/>
                <w:b/>
                <w:sz w:val="22"/>
                <w:szCs w:val="22"/>
                <w:lang w:val="en-GB"/>
              </w:rPr>
              <w:t>Latest Date</w:t>
            </w:r>
          </w:p>
        </w:tc>
      </w:tr>
      <w:tr w:rsidR="00797D26" w:rsidRPr="00763448" w:rsidTr="00891736">
        <w:tc>
          <w:tcPr>
            <w:tcW w:w="1242" w:type="dxa"/>
          </w:tcPr>
          <w:p w:rsidR="00C11CB7" w:rsidRPr="00763448" w:rsidRDefault="00C11CB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5992" w:type="dxa"/>
          </w:tcPr>
          <w:p w:rsidR="00C11CB7" w:rsidRPr="00763448" w:rsidRDefault="00C11CB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 xml:space="preserve">Faculty </w:t>
            </w:r>
            <w:r w:rsidR="00B12A33">
              <w:rPr>
                <w:rFonts w:ascii="Arial" w:hAnsi="Arial" w:cs="Arial"/>
                <w:sz w:val="22"/>
                <w:szCs w:val="22"/>
                <w:lang w:val="en-GB"/>
              </w:rPr>
              <w:t xml:space="preserve">HR </w:t>
            </w: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>announces annual promotions cycle</w:t>
            </w:r>
            <w:r w:rsidR="00327D31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1622" w:type="dxa"/>
          </w:tcPr>
          <w:p w:rsidR="00C11CB7" w:rsidRPr="00763448" w:rsidRDefault="00C0277E" w:rsidP="00B12A3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21</w:t>
            </w:r>
            <w:r w:rsidR="006931BB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12A33">
              <w:rPr>
                <w:rFonts w:ascii="Arial" w:hAnsi="Arial" w:cs="Arial"/>
                <w:sz w:val="22"/>
                <w:szCs w:val="22"/>
                <w:lang w:val="en-GB"/>
              </w:rPr>
              <w:t>Octob</w:t>
            </w:r>
            <w:r w:rsidR="006931BB">
              <w:rPr>
                <w:rFonts w:ascii="Arial" w:hAnsi="Arial" w:cs="Arial"/>
                <w:sz w:val="22"/>
                <w:szCs w:val="22"/>
                <w:lang w:val="en-GB"/>
              </w:rPr>
              <w:t>er</w:t>
            </w:r>
          </w:p>
        </w:tc>
      </w:tr>
      <w:tr w:rsidR="00797D26" w:rsidRPr="00763448" w:rsidTr="00891736">
        <w:tc>
          <w:tcPr>
            <w:tcW w:w="1242" w:type="dxa"/>
          </w:tcPr>
          <w:p w:rsidR="003F1AE9" w:rsidRDefault="003F1AE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5992" w:type="dxa"/>
          </w:tcPr>
          <w:p w:rsidR="003F1AE9" w:rsidRPr="00763448" w:rsidRDefault="003F1AE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Gender/ethnicity profile of School’s academic staff sent to Schools by Faculty HR</w:t>
            </w:r>
            <w:r w:rsidR="00DD478D">
              <w:rPr>
                <w:rFonts w:ascii="Arial" w:hAnsi="Arial" w:cs="Arial"/>
                <w:sz w:val="22"/>
                <w:szCs w:val="22"/>
                <w:lang w:val="en-GB"/>
              </w:rPr>
              <w:t xml:space="preserve"> (for monitoring purposes only)</w:t>
            </w:r>
            <w:r w:rsidR="00327D31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1622" w:type="dxa"/>
          </w:tcPr>
          <w:p w:rsidR="003F1AE9" w:rsidRPr="00763448" w:rsidRDefault="00C0277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  <w:r w:rsidR="003F1AE9">
              <w:rPr>
                <w:rFonts w:ascii="Arial" w:hAnsi="Arial" w:cs="Arial"/>
                <w:sz w:val="22"/>
                <w:szCs w:val="22"/>
                <w:lang w:val="en-GB"/>
              </w:rPr>
              <w:t xml:space="preserve"> November</w:t>
            </w:r>
          </w:p>
        </w:tc>
      </w:tr>
      <w:tr w:rsidR="00797D26" w:rsidRPr="00763448" w:rsidTr="00891736">
        <w:tc>
          <w:tcPr>
            <w:tcW w:w="1242" w:type="dxa"/>
          </w:tcPr>
          <w:p w:rsidR="00C11CB7" w:rsidRPr="00763448" w:rsidRDefault="003F1AE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5992" w:type="dxa"/>
          </w:tcPr>
          <w:p w:rsidR="00C11CB7" w:rsidRPr="00763448" w:rsidRDefault="00C11CB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 xml:space="preserve">Individuals submit </w:t>
            </w:r>
            <w:r w:rsidR="00797D26">
              <w:rPr>
                <w:rFonts w:ascii="Arial" w:hAnsi="Arial" w:cs="Arial"/>
                <w:sz w:val="22"/>
                <w:szCs w:val="22"/>
                <w:lang w:val="en-GB"/>
              </w:rPr>
              <w:t xml:space="preserve">promotion </w:t>
            </w: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 xml:space="preserve">applications to </w:t>
            </w:r>
            <w:proofErr w:type="spellStart"/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>HoS</w:t>
            </w:r>
            <w:r w:rsidR="00327D31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proofErr w:type="spellEnd"/>
          </w:p>
        </w:tc>
        <w:tc>
          <w:tcPr>
            <w:tcW w:w="1622" w:type="dxa"/>
          </w:tcPr>
          <w:p w:rsidR="00C11CB7" w:rsidRPr="00763448" w:rsidRDefault="00C11CB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>School to determine</w:t>
            </w:r>
          </w:p>
        </w:tc>
      </w:tr>
      <w:tr w:rsidR="00797D26" w:rsidRPr="00763448" w:rsidTr="00891736">
        <w:tc>
          <w:tcPr>
            <w:tcW w:w="1242" w:type="dxa"/>
          </w:tcPr>
          <w:p w:rsidR="00C11CB7" w:rsidRPr="00763448" w:rsidRDefault="003F1AE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5992" w:type="dxa"/>
          </w:tcPr>
          <w:p w:rsidR="00C11CB7" w:rsidRPr="00763448" w:rsidRDefault="00C11CB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 xml:space="preserve">Line managers submit statement to </w:t>
            </w:r>
            <w:proofErr w:type="spellStart"/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>HoS</w:t>
            </w:r>
            <w:r w:rsidR="00327D31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proofErr w:type="spellEnd"/>
          </w:p>
        </w:tc>
        <w:tc>
          <w:tcPr>
            <w:tcW w:w="1622" w:type="dxa"/>
          </w:tcPr>
          <w:p w:rsidR="00C11CB7" w:rsidRPr="00763448" w:rsidRDefault="00C11CB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>School to determine</w:t>
            </w:r>
          </w:p>
        </w:tc>
      </w:tr>
      <w:tr w:rsidR="00797D26" w:rsidRPr="00763448" w:rsidTr="00891736">
        <w:tc>
          <w:tcPr>
            <w:tcW w:w="1242" w:type="dxa"/>
          </w:tcPr>
          <w:p w:rsidR="00C11CB7" w:rsidRPr="00763448" w:rsidRDefault="003F1AE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5992" w:type="dxa"/>
          </w:tcPr>
          <w:p w:rsidR="00C11CB7" w:rsidRPr="00763448" w:rsidRDefault="00287504" w:rsidP="00BB137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Head of School </w:t>
            </w:r>
            <w:r w:rsidR="00C11CB7" w:rsidRPr="00763448">
              <w:rPr>
                <w:rFonts w:ascii="Arial" w:hAnsi="Arial" w:cs="Arial"/>
                <w:sz w:val="22"/>
                <w:szCs w:val="22"/>
                <w:lang w:val="en-GB"/>
              </w:rPr>
              <w:t xml:space="preserve">submits </w:t>
            </w:r>
            <w:r w:rsidR="00797D26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proofErr w:type="spellStart"/>
            <w:r w:rsidR="00797D26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proofErr w:type="spellEnd"/>
            <w:r w:rsidR="00797D26">
              <w:rPr>
                <w:rFonts w:ascii="Arial" w:hAnsi="Arial" w:cs="Arial"/>
                <w:sz w:val="22"/>
                <w:szCs w:val="22"/>
                <w:lang w:val="en-GB"/>
              </w:rPr>
              <w:t xml:space="preserve">) promotion </w:t>
            </w:r>
            <w:r w:rsidR="00C11CB7" w:rsidRPr="00763448">
              <w:rPr>
                <w:rFonts w:ascii="Arial" w:hAnsi="Arial" w:cs="Arial"/>
                <w:sz w:val="22"/>
                <w:szCs w:val="22"/>
                <w:lang w:val="en-GB"/>
              </w:rPr>
              <w:t>cases to Dean</w:t>
            </w:r>
            <w:r w:rsidR="001E21D8">
              <w:rPr>
                <w:rFonts w:ascii="Arial" w:hAnsi="Arial" w:cs="Arial"/>
                <w:sz w:val="22"/>
                <w:szCs w:val="22"/>
                <w:lang w:val="en-GB"/>
              </w:rPr>
              <w:t xml:space="preserve"> (via </w:t>
            </w:r>
            <w:r w:rsidR="00B12A33">
              <w:rPr>
                <w:rFonts w:ascii="Arial" w:hAnsi="Arial" w:cs="Arial"/>
                <w:sz w:val="22"/>
                <w:szCs w:val="22"/>
                <w:lang w:val="en-GB"/>
              </w:rPr>
              <w:t xml:space="preserve">Faculty </w:t>
            </w:r>
            <w:r w:rsidR="001E21D8">
              <w:rPr>
                <w:rFonts w:ascii="Arial" w:hAnsi="Arial" w:cs="Arial"/>
                <w:sz w:val="22"/>
                <w:szCs w:val="22"/>
                <w:lang w:val="en-GB"/>
              </w:rPr>
              <w:t>HR)</w:t>
            </w:r>
            <w:r w:rsidR="00DC589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327D31">
              <w:rPr>
                <w:rFonts w:ascii="Arial" w:hAnsi="Arial" w:cs="Arial"/>
                <w:sz w:val="22"/>
                <w:szCs w:val="22"/>
                <w:lang w:val="en-GB"/>
              </w:rPr>
              <w:t xml:space="preserve">for SL, Reader and Professor </w:t>
            </w:r>
            <w:r w:rsidR="00DC589E">
              <w:rPr>
                <w:rFonts w:ascii="Arial" w:hAnsi="Arial" w:cs="Arial"/>
                <w:sz w:val="22"/>
                <w:szCs w:val="22"/>
                <w:lang w:val="en-GB"/>
              </w:rPr>
              <w:t>highlighting any particular individual circumstances which should be brought to the attention of FPC</w:t>
            </w:r>
            <w:r w:rsidR="0089173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97D26">
              <w:rPr>
                <w:rFonts w:ascii="Arial" w:hAnsi="Arial" w:cs="Arial"/>
                <w:sz w:val="22"/>
                <w:szCs w:val="22"/>
                <w:lang w:val="en-GB"/>
              </w:rPr>
              <w:t xml:space="preserve">(ii) </w:t>
            </w:r>
            <w:r w:rsidR="00327D31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  <w:r w:rsidR="00642AFC">
              <w:rPr>
                <w:rFonts w:ascii="Arial" w:hAnsi="Arial" w:cs="Arial"/>
                <w:sz w:val="22"/>
                <w:szCs w:val="22"/>
                <w:lang w:val="en-GB"/>
              </w:rPr>
              <w:t>ecommendation</w:t>
            </w:r>
            <w:r w:rsidR="00B707AB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="00642AF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327D31">
              <w:rPr>
                <w:rFonts w:ascii="Arial" w:hAnsi="Arial" w:cs="Arial"/>
                <w:sz w:val="22"/>
                <w:szCs w:val="22"/>
                <w:lang w:val="en-GB"/>
              </w:rPr>
              <w:t xml:space="preserve">for </w:t>
            </w:r>
            <w:r w:rsidR="00797D26">
              <w:rPr>
                <w:rFonts w:ascii="Arial" w:hAnsi="Arial" w:cs="Arial"/>
                <w:sz w:val="22"/>
                <w:szCs w:val="22"/>
                <w:lang w:val="en-GB"/>
              </w:rPr>
              <w:t>RREP</w:t>
            </w:r>
            <w:r w:rsidR="00642AFC">
              <w:rPr>
                <w:rFonts w:ascii="Arial" w:hAnsi="Arial" w:cs="Arial"/>
                <w:sz w:val="22"/>
                <w:szCs w:val="22"/>
                <w:lang w:val="en-GB"/>
              </w:rPr>
              <w:t xml:space="preserve"> awards</w:t>
            </w:r>
            <w:r w:rsidR="00891736">
              <w:rPr>
                <w:rFonts w:ascii="Arial" w:hAnsi="Arial" w:cs="Arial"/>
                <w:sz w:val="22"/>
                <w:szCs w:val="22"/>
                <w:lang w:val="en-GB"/>
              </w:rPr>
              <w:t xml:space="preserve"> (iii) summary report of </w:t>
            </w:r>
            <w:r w:rsidR="00D16C59">
              <w:rPr>
                <w:rFonts w:ascii="Arial" w:hAnsi="Arial" w:cs="Arial"/>
                <w:sz w:val="22"/>
                <w:szCs w:val="22"/>
                <w:lang w:val="en-GB"/>
              </w:rPr>
              <w:t>SPC decisions</w:t>
            </w:r>
            <w:r w:rsidR="00891736" w:rsidRPr="00642AFC">
              <w:rPr>
                <w:rFonts w:ascii="Arial" w:hAnsi="Arial" w:cs="Arial"/>
                <w:sz w:val="22"/>
                <w:szCs w:val="22"/>
                <w:lang w:val="en-GB"/>
              </w:rPr>
              <w:t xml:space="preserve"> to </w:t>
            </w:r>
            <w:r w:rsidR="00D16C59">
              <w:rPr>
                <w:rFonts w:ascii="Arial" w:hAnsi="Arial" w:cs="Arial"/>
                <w:sz w:val="22"/>
                <w:szCs w:val="22"/>
                <w:lang w:val="en-GB"/>
              </w:rPr>
              <w:t xml:space="preserve">promote to </w:t>
            </w:r>
            <w:r w:rsidR="00DE7C96">
              <w:rPr>
                <w:rFonts w:ascii="Arial" w:hAnsi="Arial" w:cs="Arial"/>
                <w:sz w:val="22"/>
                <w:szCs w:val="22"/>
                <w:lang w:val="en-GB"/>
              </w:rPr>
              <w:t xml:space="preserve">Grade 7 </w:t>
            </w:r>
            <w:r w:rsidR="00891736" w:rsidRPr="00642AFC">
              <w:rPr>
                <w:rFonts w:ascii="Arial" w:hAnsi="Arial" w:cs="Arial"/>
                <w:sz w:val="22"/>
                <w:szCs w:val="22"/>
                <w:lang w:val="en-GB"/>
              </w:rPr>
              <w:t xml:space="preserve">Lecturer </w:t>
            </w:r>
            <w:r w:rsidR="00891736">
              <w:rPr>
                <w:rFonts w:ascii="Arial" w:hAnsi="Arial" w:cs="Arial"/>
                <w:sz w:val="22"/>
                <w:szCs w:val="22"/>
                <w:lang w:val="en-GB"/>
              </w:rPr>
              <w:t xml:space="preserve">(Teaching &amp; Scholarship) </w:t>
            </w:r>
            <w:r w:rsidR="00DE7C96">
              <w:rPr>
                <w:rFonts w:ascii="Arial" w:hAnsi="Arial" w:cs="Arial"/>
                <w:sz w:val="22"/>
                <w:szCs w:val="22"/>
                <w:lang w:val="en-GB"/>
              </w:rPr>
              <w:t xml:space="preserve">and </w:t>
            </w:r>
            <w:r w:rsidR="00BB137C">
              <w:rPr>
                <w:rFonts w:ascii="Arial" w:hAnsi="Arial" w:cs="Arial"/>
                <w:sz w:val="22"/>
                <w:szCs w:val="22"/>
                <w:lang w:val="en-GB"/>
              </w:rPr>
              <w:t>(Research &amp;</w:t>
            </w:r>
            <w:r w:rsidR="00891736">
              <w:rPr>
                <w:rFonts w:ascii="Arial" w:hAnsi="Arial" w:cs="Arial"/>
                <w:sz w:val="22"/>
                <w:szCs w:val="22"/>
                <w:lang w:val="en-GB"/>
              </w:rPr>
              <w:t xml:space="preserve"> Teaching)</w:t>
            </w:r>
            <w:r w:rsidR="00DE7C96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="00891736"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r w:rsidR="00891736" w:rsidRPr="00642AFC">
              <w:rPr>
                <w:rFonts w:ascii="Arial" w:hAnsi="Arial" w:cs="Arial"/>
                <w:sz w:val="22"/>
                <w:szCs w:val="22"/>
                <w:lang w:val="en-GB"/>
              </w:rPr>
              <w:t>Research Fello</w:t>
            </w:r>
            <w:r w:rsidR="00891736">
              <w:rPr>
                <w:rFonts w:ascii="Arial" w:hAnsi="Arial" w:cs="Arial"/>
                <w:sz w:val="22"/>
                <w:szCs w:val="22"/>
                <w:lang w:val="en-GB"/>
              </w:rPr>
              <w:t>w.</w:t>
            </w:r>
            <w:r w:rsidR="0076026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DE7C96">
              <w:rPr>
                <w:rFonts w:ascii="Arial" w:hAnsi="Arial" w:cs="Arial"/>
                <w:sz w:val="22"/>
                <w:szCs w:val="22"/>
                <w:lang w:val="en-GB"/>
              </w:rPr>
              <w:t xml:space="preserve">N.B. </w:t>
            </w:r>
            <w:r w:rsidR="00760266">
              <w:rPr>
                <w:rFonts w:ascii="Arial" w:hAnsi="Arial" w:cs="Arial"/>
                <w:sz w:val="22"/>
                <w:szCs w:val="22"/>
                <w:lang w:val="en-GB"/>
              </w:rPr>
              <w:t xml:space="preserve">Decisions notified to cases </w:t>
            </w:r>
            <w:r w:rsidR="00BB137C">
              <w:rPr>
                <w:rFonts w:ascii="Arial" w:hAnsi="Arial" w:cs="Arial"/>
                <w:sz w:val="22"/>
                <w:szCs w:val="22"/>
                <w:lang w:val="en-GB"/>
              </w:rPr>
              <w:t xml:space="preserve">for promotion </w:t>
            </w:r>
            <w:r w:rsidR="00760266">
              <w:rPr>
                <w:rFonts w:ascii="Arial" w:hAnsi="Arial" w:cs="Arial"/>
                <w:sz w:val="22"/>
                <w:szCs w:val="22"/>
                <w:lang w:val="en-GB"/>
              </w:rPr>
              <w:t>to Grade 7 by HR</w:t>
            </w:r>
            <w:r w:rsidR="00DE7C96">
              <w:rPr>
                <w:rFonts w:ascii="Arial" w:hAnsi="Arial" w:cs="Arial"/>
                <w:sz w:val="22"/>
                <w:szCs w:val="22"/>
                <w:lang w:val="en-GB"/>
              </w:rPr>
              <w:t xml:space="preserve"> at this point</w:t>
            </w:r>
            <w:r w:rsidR="00760266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1622" w:type="dxa"/>
          </w:tcPr>
          <w:p w:rsidR="00C11CB7" w:rsidRPr="00763448" w:rsidRDefault="00AE2D77" w:rsidP="001872D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14</w:t>
            </w:r>
            <w:r w:rsidR="006931BB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1E21D8">
              <w:rPr>
                <w:rFonts w:ascii="Arial" w:hAnsi="Arial" w:cs="Arial"/>
                <w:sz w:val="22"/>
                <w:szCs w:val="22"/>
                <w:lang w:val="en-GB"/>
              </w:rPr>
              <w:t>February</w:t>
            </w:r>
            <w:r w:rsidR="00EE200F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797D26" w:rsidRPr="00763448" w:rsidTr="00891736">
        <w:tc>
          <w:tcPr>
            <w:tcW w:w="1242" w:type="dxa"/>
          </w:tcPr>
          <w:p w:rsidR="00C11CB7" w:rsidRPr="00763448" w:rsidRDefault="003F1AE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5992" w:type="dxa"/>
          </w:tcPr>
          <w:p w:rsidR="00C11CB7" w:rsidRPr="00763448" w:rsidRDefault="00C11CB7" w:rsidP="0076026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>HoS</w:t>
            </w:r>
            <w:proofErr w:type="spellEnd"/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 xml:space="preserve"> meets with individuals for whom SPC</w:t>
            </w:r>
            <w:r w:rsidR="0076026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 xml:space="preserve">decides there is no </w:t>
            </w:r>
            <w:r w:rsidRPr="00763448">
              <w:rPr>
                <w:rFonts w:ascii="Arial" w:hAnsi="Arial" w:cs="Arial"/>
                <w:i/>
                <w:sz w:val="22"/>
                <w:szCs w:val="22"/>
                <w:lang w:val="en-GB"/>
              </w:rPr>
              <w:t>prima facie</w:t>
            </w: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 xml:space="preserve"> case</w:t>
            </w:r>
            <w:r w:rsidR="00327D31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1622" w:type="dxa"/>
          </w:tcPr>
          <w:p w:rsidR="00C11CB7" w:rsidRPr="00763448" w:rsidRDefault="00AE2D77" w:rsidP="001872D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14</w:t>
            </w:r>
            <w:r w:rsidR="006931BB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5E0F0F" w:rsidRPr="00763448">
              <w:rPr>
                <w:rFonts w:ascii="Arial" w:hAnsi="Arial" w:cs="Arial"/>
                <w:sz w:val="22"/>
                <w:szCs w:val="22"/>
                <w:lang w:val="en-GB"/>
              </w:rPr>
              <w:t>March</w:t>
            </w:r>
          </w:p>
        </w:tc>
      </w:tr>
      <w:tr w:rsidR="00797D26" w:rsidRPr="00763448" w:rsidTr="00891736">
        <w:tc>
          <w:tcPr>
            <w:tcW w:w="1242" w:type="dxa"/>
            <w:tcBorders>
              <w:bottom w:val="single" w:sz="4" w:space="0" w:color="auto"/>
            </w:tcBorders>
          </w:tcPr>
          <w:p w:rsidR="00960C67" w:rsidRPr="00763448" w:rsidRDefault="003F1AE9" w:rsidP="00960C6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5992" w:type="dxa"/>
            <w:tcBorders>
              <w:bottom w:val="single" w:sz="4" w:space="0" w:color="auto"/>
            </w:tcBorders>
          </w:tcPr>
          <w:p w:rsidR="00960C67" w:rsidRPr="00763448" w:rsidRDefault="00960C67" w:rsidP="0076026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 xml:space="preserve">Papers distributed to FPC with </w:t>
            </w:r>
            <w:r w:rsidR="00D3509A">
              <w:rPr>
                <w:rFonts w:ascii="Arial" w:hAnsi="Arial" w:cs="Arial"/>
                <w:sz w:val="22"/>
                <w:szCs w:val="22"/>
                <w:lang w:val="en-GB"/>
              </w:rPr>
              <w:t xml:space="preserve">candidate </w:t>
            </w: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>assessment forms</w:t>
            </w:r>
            <w:r w:rsidR="00797D26">
              <w:rPr>
                <w:rFonts w:ascii="Arial" w:hAnsi="Arial" w:cs="Arial"/>
                <w:sz w:val="22"/>
                <w:szCs w:val="22"/>
                <w:lang w:val="en-GB"/>
              </w:rPr>
              <w:t xml:space="preserve"> for promotion cases </w:t>
            </w:r>
            <w:r w:rsidR="00327D31">
              <w:rPr>
                <w:rFonts w:ascii="Arial" w:hAnsi="Arial" w:cs="Arial"/>
                <w:sz w:val="22"/>
                <w:szCs w:val="22"/>
                <w:lang w:val="en-GB"/>
              </w:rPr>
              <w:t xml:space="preserve">to SL, Reader and Professor </w:t>
            </w:r>
            <w:r w:rsidR="00891736">
              <w:rPr>
                <w:rFonts w:ascii="Arial" w:hAnsi="Arial" w:cs="Arial"/>
                <w:sz w:val="22"/>
                <w:szCs w:val="22"/>
                <w:lang w:val="en-GB"/>
              </w:rPr>
              <w:t xml:space="preserve">as well as a summary of recommendations </w:t>
            </w:r>
            <w:r w:rsidR="00891736" w:rsidRPr="00891736">
              <w:rPr>
                <w:rFonts w:ascii="Arial" w:hAnsi="Arial" w:cs="Arial"/>
                <w:sz w:val="22"/>
                <w:szCs w:val="22"/>
                <w:lang w:val="en-GB"/>
              </w:rPr>
              <w:t>for RREP awards</w:t>
            </w:r>
            <w:r w:rsidR="00891736">
              <w:rPr>
                <w:rFonts w:ascii="Arial" w:hAnsi="Arial" w:cs="Arial"/>
                <w:sz w:val="22"/>
                <w:szCs w:val="22"/>
                <w:lang w:val="en-GB"/>
              </w:rPr>
              <w:t xml:space="preserve">.  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960C67" w:rsidRPr="00763448" w:rsidRDefault="00CE4415" w:rsidP="001872D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  <w:r w:rsidR="000D029D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960C67" w:rsidRPr="00763448">
              <w:rPr>
                <w:rFonts w:ascii="Arial" w:hAnsi="Arial" w:cs="Arial"/>
                <w:sz w:val="22"/>
                <w:szCs w:val="22"/>
                <w:lang w:val="en-GB"/>
              </w:rPr>
              <w:t>March</w:t>
            </w:r>
          </w:p>
        </w:tc>
      </w:tr>
      <w:tr w:rsidR="00C0277E" w:rsidRPr="00C0277E" w:rsidTr="00891736">
        <w:tc>
          <w:tcPr>
            <w:tcW w:w="1242" w:type="dxa"/>
            <w:shd w:val="clear" w:color="auto" w:fill="auto"/>
          </w:tcPr>
          <w:p w:rsidR="00763448" w:rsidRPr="00A046FF" w:rsidRDefault="003F1AE9" w:rsidP="00D3509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046FF">
              <w:rPr>
                <w:rFonts w:ascii="Arial" w:hAnsi="Arial" w:cs="Arial"/>
                <w:sz w:val="22"/>
                <w:szCs w:val="22"/>
                <w:lang w:val="en-GB"/>
              </w:rPr>
              <w:t>8</w:t>
            </w:r>
          </w:p>
        </w:tc>
        <w:tc>
          <w:tcPr>
            <w:tcW w:w="5992" w:type="dxa"/>
            <w:shd w:val="clear" w:color="auto" w:fill="auto"/>
          </w:tcPr>
          <w:p w:rsidR="00763448" w:rsidRPr="00E74043" w:rsidRDefault="00D3509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74043">
              <w:rPr>
                <w:rFonts w:ascii="Arial" w:hAnsi="Arial" w:cs="Arial"/>
                <w:sz w:val="22"/>
                <w:szCs w:val="22"/>
                <w:lang w:val="en-GB"/>
              </w:rPr>
              <w:t>FPC members complete and return assessment forms to HR</w:t>
            </w:r>
            <w:r w:rsidR="00327D31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:rsidR="00763448" w:rsidRPr="00327D31" w:rsidRDefault="00CE4415" w:rsidP="00CE4415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27D31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  <w:r w:rsidR="00B12A33" w:rsidRPr="00327D3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931BB" w:rsidRPr="00327D31">
              <w:rPr>
                <w:rFonts w:ascii="Arial" w:hAnsi="Arial" w:cs="Arial"/>
                <w:sz w:val="22"/>
                <w:szCs w:val="22"/>
                <w:lang w:val="en-GB"/>
              </w:rPr>
              <w:t>April</w:t>
            </w:r>
            <w:r w:rsidR="001E21D8" w:rsidRPr="00327D3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C0277E" w:rsidRPr="00C0277E" w:rsidTr="00891736">
        <w:tc>
          <w:tcPr>
            <w:tcW w:w="1242" w:type="dxa"/>
            <w:shd w:val="clear" w:color="auto" w:fill="auto"/>
          </w:tcPr>
          <w:p w:rsidR="00D3509A" w:rsidRPr="00A046FF" w:rsidRDefault="003F1AE9" w:rsidP="00D3509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046FF"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</w:p>
        </w:tc>
        <w:tc>
          <w:tcPr>
            <w:tcW w:w="5992" w:type="dxa"/>
            <w:shd w:val="clear" w:color="auto" w:fill="auto"/>
          </w:tcPr>
          <w:p w:rsidR="00D3509A" w:rsidRPr="00E74043" w:rsidRDefault="00D3509A" w:rsidP="0089173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74043">
              <w:rPr>
                <w:rFonts w:ascii="Arial" w:hAnsi="Arial" w:cs="Arial"/>
                <w:sz w:val="22"/>
                <w:szCs w:val="22"/>
                <w:lang w:val="en-GB"/>
              </w:rPr>
              <w:t>HR prepares summaries of assessments</w:t>
            </w:r>
            <w:r w:rsidR="00983304" w:rsidRPr="00E74043"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proofErr w:type="spellStart"/>
            <w:r w:rsidR="00983304" w:rsidRPr="00E74043">
              <w:rPr>
                <w:rFonts w:ascii="Arial" w:hAnsi="Arial" w:cs="Arial"/>
                <w:sz w:val="22"/>
                <w:szCs w:val="22"/>
                <w:lang w:val="en-GB"/>
              </w:rPr>
              <w:t>HoS</w:t>
            </w:r>
            <w:proofErr w:type="spellEnd"/>
            <w:r w:rsidR="00BC023D" w:rsidRPr="00E7404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983304" w:rsidRPr="00E74043">
              <w:rPr>
                <w:rFonts w:ascii="Arial" w:hAnsi="Arial" w:cs="Arial"/>
                <w:sz w:val="22"/>
                <w:szCs w:val="22"/>
                <w:lang w:val="en-GB"/>
              </w:rPr>
              <w:t xml:space="preserve">informed </w:t>
            </w:r>
            <w:r w:rsidR="001C1AC6" w:rsidRPr="00E74043">
              <w:rPr>
                <w:rFonts w:ascii="Arial" w:hAnsi="Arial" w:cs="Arial"/>
                <w:sz w:val="22"/>
                <w:szCs w:val="22"/>
                <w:lang w:val="en-GB"/>
              </w:rPr>
              <w:t xml:space="preserve">where they </w:t>
            </w:r>
            <w:r w:rsidR="00983304" w:rsidRPr="00E74043">
              <w:rPr>
                <w:rFonts w:ascii="Arial" w:hAnsi="Arial" w:cs="Arial"/>
                <w:sz w:val="22"/>
                <w:szCs w:val="22"/>
                <w:lang w:val="en-GB"/>
              </w:rPr>
              <w:t>are required to attend FPC to discuss cases</w:t>
            </w:r>
            <w:r w:rsidR="00327D31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:rsidR="00D3509A" w:rsidRPr="00327D31" w:rsidRDefault="00AE2D77" w:rsidP="0072367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27D31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792C86" w:rsidRPr="00327D31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B12A33" w:rsidRPr="00327D3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D029D" w:rsidRPr="00327D31">
              <w:rPr>
                <w:rFonts w:ascii="Arial" w:hAnsi="Arial" w:cs="Arial"/>
                <w:sz w:val="22"/>
                <w:szCs w:val="22"/>
                <w:lang w:val="en-GB"/>
              </w:rPr>
              <w:t>April</w:t>
            </w:r>
            <w:r w:rsidR="00026FF9" w:rsidRPr="00327D3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797D26" w:rsidRPr="00763448" w:rsidTr="00891736">
        <w:tc>
          <w:tcPr>
            <w:tcW w:w="1242" w:type="dxa"/>
          </w:tcPr>
          <w:p w:rsidR="00C11CB7" w:rsidRPr="00763448" w:rsidRDefault="003F1AE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10</w:t>
            </w:r>
          </w:p>
        </w:tc>
        <w:tc>
          <w:tcPr>
            <w:tcW w:w="5992" w:type="dxa"/>
          </w:tcPr>
          <w:p w:rsidR="00C11CB7" w:rsidRPr="00763448" w:rsidRDefault="00C11CB7" w:rsidP="00680E5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>FPC meetings</w:t>
            </w:r>
            <w:r w:rsidR="00BC023D">
              <w:rPr>
                <w:rFonts w:ascii="Arial" w:hAnsi="Arial" w:cs="Arial"/>
                <w:sz w:val="22"/>
                <w:szCs w:val="22"/>
                <w:lang w:val="en-GB"/>
              </w:rPr>
              <w:t>-</w:t>
            </w:r>
            <w:proofErr w:type="spellStart"/>
            <w:r w:rsidR="00BC023D">
              <w:rPr>
                <w:rFonts w:ascii="Arial" w:hAnsi="Arial" w:cs="Arial"/>
                <w:sz w:val="22"/>
                <w:szCs w:val="22"/>
                <w:lang w:val="en-GB"/>
              </w:rPr>
              <w:t>HoS</w:t>
            </w:r>
            <w:proofErr w:type="spellEnd"/>
            <w:r w:rsidR="00BC023D">
              <w:rPr>
                <w:rFonts w:ascii="Arial" w:hAnsi="Arial" w:cs="Arial"/>
                <w:sz w:val="22"/>
                <w:szCs w:val="22"/>
                <w:lang w:val="en-GB"/>
              </w:rPr>
              <w:t xml:space="preserve"> to be informed as well as Committee members</w:t>
            </w:r>
            <w:r w:rsidR="001C1AC6">
              <w:rPr>
                <w:rFonts w:ascii="Arial" w:hAnsi="Arial" w:cs="Arial"/>
                <w:sz w:val="22"/>
                <w:szCs w:val="22"/>
                <w:lang w:val="en-GB"/>
              </w:rPr>
              <w:t xml:space="preserve"> in order that they can protect dates</w:t>
            </w:r>
            <w:r w:rsidR="00327D31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1622" w:type="dxa"/>
          </w:tcPr>
          <w:p w:rsidR="00C11CB7" w:rsidRPr="00763448" w:rsidRDefault="00BC023D" w:rsidP="00BC023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Expected w/c </w:t>
            </w:r>
            <w:r w:rsidR="00C0277E">
              <w:rPr>
                <w:rFonts w:ascii="Arial" w:hAnsi="Arial" w:cs="Arial"/>
                <w:sz w:val="22"/>
                <w:szCs w:val="22"/>
                <w:lang w:val="en-GB"/>
              </w:rPr>
              <w:t>12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May 20</w:t>
            </w:r>
            <w:r w:rsidR="001872D6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  <w:r w:rsidR="00C0277E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</w:tr>
      <w:tr w:rsidR="00797D26" w:rsidRPr="00763448" w:rsidTr="00891736">
        <w:tc>
          <w:tcPr>
            <w:tcW w:w="1242" w:type="dxa"/>
          </w:tcPr>
          <w:p w:rsidR="00797D26" w:rsidRPr="00797D26" w:rsidRDefault="00797D26" w:rsidP="00797D2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11</w:t>
            </w:r>
          </w:p>
        </w:tc>
        <w:tc>
          <w:tcPr>
            <w:tcW w:w="5992" w:type="dxa"/>
          </w:tcPr>
          <w:p w:rsidR="00797D26" w:rsidRPr="00763448" w:rsidRDefault="00891736" w:rsidP="0089173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  <w:r w:rsidR="00E74043">
              <w:rPr>
                <w:rFonts w:ascii="Arial" w:hAnsi="Arial" w:cs="Arial"/>
                <w:sz w:val="22"/>
                <w:szCs w:val="22"/>
                <w:lang w:val="en-GB"/>
              </w:rPr>
              <w:t>romotion recommendations</w:t>
            </w:r>
            <w:r w:rsidR="00E74043"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footnoteReference w:id="1"/>
            </w:r>
            <w:r w:rsidR="00E7404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97D26">
              <w:rPr>
                <w:rFonts w:ascii="Arial" w:hAnsi="Arial" w:cs="Arial"/>
                <w:sz w:val="22"/>
                <w:szCs w:val="22"/>
                <w:lang w:val="en-GB"/>
              </w:rPr>
              <w:t xml:space="preserve">notified to staff and to </w:t>
            </w:r>
            <w:proofErr w:type="spellStart"/>
            <w:r w:rsidR="00797D26">
              <w:rPr>
                <w:rFonts w:ascii="Arial" w:hAnsi="Arial" w:cs="Arial"/>
                <w:sz w:val="22"/>
                <w:szCs w:val="22"/>
                <w:lang w:val="en-GB"/>
              </w:rPr>
              <w:t>HoS</w:t>
            </w:r>
            <w:proofErr w:type="spellEnd"/>
            <w:r w:rsidR="00E74043">
              <w:rPr>
                <w:rFonts w:ascii="Arial" w:hAnsi="Arial" w:cs="Arial"/>
                <w:sz w:val="22"/>
                <w:szCs w:val="22"/>
                <w:lang w:val="en-GB"/>
              </w:rPr>
              <w:t xml:space="preserve"> by Faculty HR</w:t>
            </w:r>
            <w:r w:rsidR="00327D31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1622" w:type="dxa"/>
          </w:tcPr>
          <w:p w:rsidR="00797D26" w:rsidRDefault="00797D26" w:rsidP="00BC023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 week after FPC</w:t>
            </w:r>
          </w:p>
        </w:tc>
      </w:tr>
      <w:tr w:rsidR="00797D26" w:rsidRPr="00763448" w:rsidTr="00891736">
        <w:tc>
          <w:tcPr>
            <w:tcW w:w="1242" w:type="dxa"/>
          </w:tcPr>
          <w:p w:rsidR="00C11CB7" w:rsidRPr="00763448" w:rsidRDefault="00EA51AC" w:rsidP="00960C6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  <w:r w:rsidR="00797D26">
              <w:rPr>
                <w:rFonts w:ascii="Arial" w:hAnsi="Arial" w:cs="Arial"/>
                <w:sz w:val="22"/>
                <w:szCs w:val="22"/>
                <w:lang w:val="en-GB"/>
              </w:rPr>
              <w:t>2.</w:t>
            </w:r>
          </w:p>
        </w:tc>
        <w:tc>
          <w:tcPr>
            <w:tcW w:w="5992" w:type="dxa"/>
          </w:tcPr>
          <w:p w:rsidR="00C11CB7" w:rsidRPr="00763448" w:rsidRDefault="00C11CB7" w:rsidP="00E7404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>Dean</w:t>
            </w:r>
            <w:r w:rsidR="00B707AB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983304">
              <w:rPr>
                <w:rFonts w:ascii="Arial" w:hAnsi="Arial" w:cs="Arial"/>
                <w:sz w:val="22"/>
                <w:szCs w:val="22"/>
                <w:lang w:val="en-GB"/>
              </w:rPr>
              <w:t>through Faculty HR</w:t>
            </w:r>
            <w:r w:rsidR="00B707AB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="0098330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>submits report</w:t>
            </w:r>
            <w:r w:rsidR="00983304">
              <w:rPr>
                <w:rFonts w:ascii="Arial" w:hAnsi="Arial" w:cs="Arial"/>
                <w:sz w:val="22"/>
                <w:szCs w:val="22"/>
                <w:lang w:val="en-GB"/>
              </w:rPr>
              <w:t xml:space="preserve"> on </w:t>
            </w:r>
            <w:r w:rsidR="00E74043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  <w:r w:rsidR="00983304">
              <w:rPr>
                <w:rFonts w:ascii="Arial" w:hAnsi="Arial" w:cs="Arial"/>
                <w:sz w:val="22"/>
                <w:szCs w:val="22"/>
                <w:lang w:val="en-GB"/>
              </w:rPr>
              <w:t xml:space="preserve">ecommendations </w:t>
            </w: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 xml:space="preserve"> to UPC</w:t>
            </w:r>
          </w:p>
        </w:tc>
        <w:tc>
          <w:tcPr>
            <w:tcW w:w="1622" w:type="dxa"/>
          </w:tcPr>
          <w:p w:rsidR="00C11CB7" w:rsidRPr="00763448" w:rsidRDefault="001872D6" w:rsidP="00B12A3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TBC</w:t>
            </w:r>
          </w:p>
        </w:tc>
      </w:tr>
      <w:tr w:rsidR="00797D26" w:rsidRPr="00763448" w:rsidTr="00891736">
        <w:tc>
          <w:tcPr>
            <w:tcW w:w="1242" w:type="dxa"/>
          </w:tcPr>
          <w:p w:rsidR="00C11CB7" w:rsidRPr="00763448" w:rsidRDefault="00D3509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  <w:r w:rsidR="00797D26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5992" w:type="dxa"/>
          </w:tcPr>
          <w:p w:rsidR="00C11CB7" w:rsidRPr="00763448" w:rsidRDefault="00C11CB7" w:rsidP="00E7404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>UPC meeting</w:t>
            </w:r>
          </w:p>
        </w:tc>
        <w:tc>
          <w:tcPr>
            <w:tcW w:w="1622" w:type="dxa"/>
          </w:tcPr>
          <w:p w:rsidR="00C11CB7" w:rsidRPr="00763448" w:rsidRDefault="001872D6" w:rsidP="00B12A3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TBC</w:t>
            </w:r>
          </w:p>
        </w:tc>
      </w:tr>
      <w:tr w:rsidR="00797D26" w:rsidRPr="00763448" w:rsidTr="00891736">
        <w:tc>
          <w:tcPr>
            <w:tcW w:w="1242" w:type="dxa"/>
          </w:tcPr>
          <w:p w:rsidR="00983304" w:rsidRDefault="00983304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1</w:t>
            </w:r>
            <w:r w:rsidR="00797D26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5992" w:type="dxa"/>
          </w:tcPr>
          <w:p w:rsidR="00983304" w:rsidRDefault="00B12A3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Faculty </w:t>
            </w:r>
            <w:r w:rsidR="00983304">
              <w:rPr>
                <w:rFonts w:ascii="Arial" w:hAnsi="Arial" w:cs="Arial"/>
                <w:sz w:val="22"/>
                <w:szCs w:val="22"/>
                <w:lang w:val="en-GB"/>
              </w:rPr>
              <w:t xml:space="preserve">HR writes to successful </w:t>
            </w:r>
            <w:r w:rsidR="007309E2">
              <w:rPr>
                <w:rFonts w:ascii="Arial" w:hAnsi="Arial" w:cs="Arial"/>
                <w:sz w:val="22"/>
                <w:szCs w:val="22"/>
                <w:lang w:val="en-GB"/>
              </w:rPr>
              <w:t xml:space="preserve">and unsuccessful </w:t>
            </w:r>
            <w:r w:rsidR="00983304">
              <w:rPr>
                <w:rFonts w:ascii="Arial" w:hAnsi="Arial" w:cs="Arial"/>
                <w:sz w:val="22"/>
                <w:szCs w:val="22"/>
                <w:lang w:val="en-GB"/>
              </w:rPr>
              <w:t>cases</w:t>
            </w:r>
            <w:r w:rsidR="007309E2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:rsidR="007309E2" w:rsidRPr="00763448" w:rsidRDefault="007309E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Unsuccessful cases also notified of right of appeal and summary reasons for rejection</w:t>
            </w:r>
            <w:r w:rsidR="00327D31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1622" w:type="dxa"/>
          </w:tcPr>
          <w:p w:rsidR="00983304" w:rsidRDefault="001872D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TBC</w:t>
            </w:r>
          </w:p>
        </w:tc>
      </w:tr>
    </w:tbl>
    <w:p w:rsidR="00327D31" w:rsidRDefault="00327D31">
      <w:pPr>
        <w:rPr>
          <w:rFonts w:ascii="Arial" w:hAnsi="Arial" w:cs="Arial"/>
          <w:i/>
          <w:sz w:val="22"/>
          <w:szCs w:val="22"/>
          <w:lang w:val="en-GB"/>
        </w:rPr>
      </w:pPr>
    </w:p>
    <w:p w:rsidR="00BC023D" w:rsidRPr="00E74043" w:rsidRDefault="00BC023D">
      <w:pPr>
        <w:rPr>
          <w:rFonts w:ascii="Arial" w:hAnsi="Arial" w:cs="Arial"/>
          <w:i/>
          <w:sz w:val="22"/>
          <w:szCs w:val="22"/>
          <w:lang w:val="en-GB"/>
        </w:rPr>
      </w:pPr>
      <w:r w:rsidRPr="00E74043">
        <w:rPr>
          <w:rFonts w:ascii="Arial" w:hAnsi="Arial" w:cs="Arial"/>
          <w:i/>
          <w:sz w:val="22"/>
          <w:szCs w:val="22"/>
          <w:lang w:val="en-GB"/>
        </w:rPr>
        <w:t xml:space="preserve">N.B. Easter “vacation” runs from </w:t>
      </w:r>
      <w:r w:rsidR="00C0277E" w:rsidRPr="00E74043">
        <w:rPr>
          <w:rFonts w:ascii="Arial" w:hAnsi="Arial" w:cs="Arial"/>
          <w:i/>
          <w:sz w:val="22"/>
          <w:szCs w:val="22"/>
          <w:lang w:val="en-GB"/>
        </w:rPr>
        <w:t xml:space="preserve">4 </w:t>
      </w:r>
      <w:r w:rsidRPr="00E74043">
        <w:rPr>
          <w:rFonts w:ascii="Arial" w:hAnsi="Arial" w:cs="Arial"/>
          <w:i/>
          <w:sz w:val="22"/>
          <w:szCs w:val="22"/>
          <w:lang w:val="en-GB"/>
        </w:rPr>
        <w:t xml:space="preserve">to </w:t>
      </w:r>
      <w:r w:rsidR="00C0277E" w:rsidRPr="00E74043">
        <w:rPr>
          <w:rFonts w:ascii="Arial" w:hAnsi="Arial" w:cs="Arial"/>
          <w:i/>
          <w:sz w:val="22"/>
          <w:szCs w:val="22"/>
          <w:lang w:val="en-GB"/>
        </w:rPr>
        <w:t>28</w:t>
      </w:r>
      <w:r w:rsidRPr="00E74043">
        <w:rPr>
          <w:rFonts w:ascii="Arial" w:hAnsi="Arial" w:cs="Arial"/>
          <w:i/>
          <w:sz w:val="22"/>
          <w:szCs w:val="22"/>
          <w:lang w:val="en-GB"/>
        </w:rPr>
        <w:t xml:space="preserve"> April</w:t>
      </w:r>
    </w:p>
    <w:p w:rsidR="00AE2D77" w:rsidRPr="007975EA" w:rsidRDefault="00AE2D77">
      <w:pPr>
        <w:rPr>
          <w:rFonts w:ascii="Arial" w:hAnsi="Arial" w:cs="Arial"/>
          <w:i/>
          <w:sz w:val="22"/>
          <w:szCs w:val="22"/>
          <w:lang w:val="en-GB"/>
        </w:rPr>
      </w:pPr>
      <w:r w:rsidRPr="00E74043">
        <w:rPr>
          <w:rFonts w:ascii="Arial" w:hAnsi="Arial" w:cs="Arial"/>
          <w:i/>
          <w:sz w:val="22"/>
          <w:szCs w:val="22"/>
          <w:lang w:val="en-GB"/>
        </w:rPr>
        <w:t>Good Frid</w:t>
      </w:r>
      <w:r w:rsidR="00792C86" w:rsidRPr="00E74043">
        <w:rPr>
          <w:rFonts w:ascii="Arial" w:hAnsi="Arial" w:cs="Arial"/>
          <w:i/>
          <w:sz w:val="22"/>
          <w:szCs w:val="22"/>
          <w:lang w:val="en-GB"/>
        </w:rPr>
        <w:t>ay is 18 April; Easter Monday 21</w:t>
      </w:r>
      <w:r w:rsidRPr="00E74043">
        <w:rPr>
          <w:rFonts w:ascii="Arial" w:hAnsi="Arial" w:cs="Arial"/>
          <w:i/>
          <w:sz w:val="22"/>
          <w:szCs w:val="22"/>
          <w:lang w:val="en-GB"/>
        </w:rPr>
        <w:t xml:space="preserve"> April</w:t>
      </w:r>
    </w:p>
    <w:sectPr w:rsidR="00AE2D77" w:rsidRPr="007975EA" w:rsidSect="00F0787F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DAD" w:rsidRDefault="00C37DAD">
      <w:r>
        <w:separator/>
      </w:r>
    </w:p>
  </w:endnote>
  <w:endnote w:type="continuationSeparator" w:id="0">
    <w:p w:rsidR="00C37DAD" w:rsidRDefault="00C3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677" w:rsidRDefault="00E74043">
    <w:pPr>
      <w:pStyle w:val="Footer"/>
      <w:rPr>
        <w:sz w:val="16"/>
        <w:szCs w:val="16"/>
      </w:rPr>
    </w:pPr>
    <w:r>
      <w:rPr>
        <w:sz w:val="16"/>
        <w:szCs w:val="16"/>
      </w:rPr>
      <w:t>ASM</w:t>
    </w:r>
    <w:r w:rsidR="00797D26">
      <w:rPr>
        <w:sz w:val="16"/>
        <w:szCs w:val="16"/>
      </w:rPr>
      <w:t xml:space="preserve"> </w:t>
    </w:r>
    <w:r w:rsidR="00CB4CF6">
      <w:rPr>
        <w:sz w:val="16"/>
        <w:szCs w:val="16"/>
      </w:rPr>
      <w:t xml:space="preserve">October </w:t>
    </w:r>
    <w:r w:rsidR="00E96B1B">
      <w:rPr>
        <w:sz w:val="16"/>
        <w:szCs w:val="16"/>
      </w:rPr>
      <w:t>2013</w:t>
    </w:r>
  </w:p>
  <w:p w:rsidR="00723677" w:rsidRPr="006931BB" w:rsidRDefault="0072367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DAD" w:rsidRDefault="00C37DAD">
      <w:r>
        <w:separator/>
      </w:r>
    </w:p>
  </w:footnote>
  <w:footnote w:type="continuationSeparator" w:id="0">
    <w:p w:rsidR="00C37DAD" w:rsidRDefault="00C37DAD">
      <w:r>
        <w:continuationSeparator/>
      </w:r>
    </w:p>
  </w:footnote>
  <w:footnote w:id="1">
    <w:p w:rsidR="00E74043" w:rsidRPr="00E74043" w:rsidRDefault="00E74043" w:rsidP="00E74043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Please note that FPC recommendations (subject to ratification by UPC) </w:t>
      </w:r>
      <w:r w:rsidR="00327D31">
        <w:rPr>
          <w:lang w:val="en-GB"/>
        </w:rPr>
        <w:t xml:space="preserve">for promotion to SL, Reader and Professor </w:t>
      </w:r>
      <w:r>
        <w:rPr>
          <w:lang w:val="en-GB"/>
        </w:rPr>
        <w:t xml:space="preserve">can be communicated to both successful and unsuccessful candidates following FPC and in advance of UPC so that feedback meetings can be arranged.  </w:t>
      </w:r>
      <w:r w:rsidRPr="00E74043">
        <w:t xml:space="preserve">Unsuccessful candidates </w:t>
      </w:r>
      <w:r w:rsidRPr="00E74043">
        <w:rPr>
          <w:lang w:val="en-GB"/>
        </w:rPr>
        <w:t>will also be offered the option to meet with the Vice-President and Dean (or other person nominated by the Vice-President and Dean) to receive feedback.</w:t>
      </w:r>
    </w:p>
    <w:p w:rsidR="00E74043" w:rsidRPr="008D7988" w:rsidRDefault="00E74043" w:rsidP="00E74043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77E" w:rsidRPr="00C0277E" w:rsidRDefault="00C0277E" w:rsidP="00C0277E">
    <w:pPr>
      <w:pStyle w:val="Header"/>
      <w:jc w:val="center"/>
      <w:rPr>
        <w:rFonts w:asciiTheme="minorHAnsi" w:hAnsiTheme="minorHAnsi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3119"/>
    <w:multiLevelType w:val="hybridMultilevel"/>
    <w:tmpl w:val="78A27F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C90588"/>
    <w:multiLevelType w:val="hybridMultilevel"/>
    <w:tmpl w:val="CB18E9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7D1443"/>
    <w:multiLevelType w:val="hybridMultilevel"/>
    <w:tmpl w:val="26668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36D81"/>
    <w:multiLevelType w:val="hybridMultilevel"/>
    <w:tmpl w:val="5726D8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0F4487D"/>
    <w:multiLevelType w:val="hybridMultilevel"/>
    <w:tmpl w:val="7884F948"/>
    <w:lvl w:ilvl="0" w:tplc="AE020FE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1D30C0"/>
    <w:multiLevelType w:val="hybridMultilevel"/>
    <w:tmpl w:val="EB7A3F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72C42A1"/>
    <w:multiLevelType w:val="hybridMultilevel"/>
    <w:tmpl w:val="A3D0CF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8D866AE"/>
    <w:multiLevelType w:val="hybridMultilevel"/>
    <w:tmpl w:val="21F871B0"/>
    <w:lvl w:ilvl="0" w:tplc="B3C2B03A">
      <w:start w:val="1"/>
      <w:numFmt w:val="lowerRoman"/>
      <w:lvlText w:val="(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37F"/>
    <w:rsid w:val="00005ACA"/>
    <w:rsid w:val="00007367"/>
    <w:rsid w:val="00026FF9"/>
    <w:rsid w:val="000339A0"/>
    <w:rsid w:val="00057911"/>
    <w:rsid w:val="000A1C0B"/>
    <w:rsid w:val="000A2DA4"/>
    <w:rsid w:val="000C0054"/>
    <w:rsid w:val="000D029D"/>
    <w:rsid w:val="000D4D02"/>
    <w:rsid w:val="001055E5"/>
    <w:rsid w:val="00116689"/>
    <w:rsid w:val="001363E6"/>
    <w:rsid w:val="00172A2E"/>
    <w:rsid w:val="001805AF"/>
    <w:rsid w:val="001872D6"/>
    <w:rsid w:val="001C1AC6"/>
    <w:rsid w:val="001E21D8"/>
    <w:rsid w:val="001F0B66"/>
    <w:rsid w:val="001F15D3"/>
    <w:rsid w:val="00214335"/>
    <w:rsid w:val="00241F84"/>
    <w:rsid w:val="00245574"/>
    <w:rsid w:val="00287504"/>
    <w:rsid w:val="002B111D"/>
    <w:rsid w:val="002D0E89"/>
    <w:rsid w:val="002F6327"/>
    <w:rsid w:val="00327D31"/>
    <w:rsid w:val="00343B34"/>
    <w:rsid w:val="003655C8"/>
    <w:rsid w:val="00376941"/>
    <w:rsid w:val="003A457D"/>
    <w:rsid w:val="003A5AF3"/>
    <w:rsid w:val="003B7F13"/>
    <w:rsid w:val="003C2BE5"/>
    <w:rsid w:val="003C722D"/>
    <w:rsid w:val="003D279C"/>
    <w:rsid w:val="003E4A4A"/>
    <w:rsid w:val="003F1AE9"/>
    <w:rsid w:val="003F53E8"/>
    <w:rsid w:val="00423263"/>
    <w:rsid w:val="00461FA1"/>
    <w:rsid w:val="004B5B77"/>
    <w:rsid w:val="004E2B0C"/>
    <w:rsid w:val="004F1D1C"/>
    <w:rsid w:val="005124B1"/>
    <w:rsid w:val="0056467E"/>
    <w:rsid w:val="00564FFE"/>
    <w:rsid w:val="0058653A"/>
    <w:rsid w:val="00586A66"/>
    <w:rsid w:val="005C0C6F"/>
    <w:rsid w:val="005C16E2"/>
    <w:rsid w:val="005E0F0F"/>
    <w:rsid w:val="005F4A4F"/>
    <w:rsid w:val="00636DB9"/>
    <w:rsid w:val="00642AFC"/>
    <w:rsid w:val="00663268"/>
    <w:rsid w:val="00680E57"/>
    <w:rsid w:val="00687216"/>
    <w:rsid w:val="006931BB"/>
    <w:rsid w:val="006B1D82"/>
    <w:rsid w:val="006B6A8F"/>
    <w:rsid w:val="006F63A5"/>
    <w:rsid w:val="00710874"/>
    <w:rsid w:val="00723677"/>
    <w:rsid w:val="007309E2"/>
    <w:rsid w:val="00754524"/>
    <w:rsid w:val="00760266"/>
    <w:rsid w:val="00763448"/>
    <w:rsid w:val="007917F4"/>
    <w:rsid w:val="00792C86"/>
    <w:rsid w:val="007975EA"/>
    <w:rsid w:val="00797D26"/>
    <w:rsid w:val="007B650A"/>
    <w:rsid w:val="007F665E"/>
    <w:rsid w:val="008560E8"/>
    <w:rsid w:val="008632DC"/>
    <w:rsid w:val="00875C52"/>
    <w:rsid w:val="00884354"/>
    <w:rsid w:val="00891736"/>
    <w:rsid w:val="008D5B98"/>
    <w:rsid w:val="008D7988"/>
    <w:rsid w:val="00913886"/>
    <w:rsid w:val="0092061F"/>
    <w:rsid w:val="0095372A"/>
    <w:rsid w:val="00957E4C"/>
    <w:rsid w:val="00960C67"/>
    <w:rsid w:val="00983304"/>
    <w:rsid w:val="009E298C"/>
    <w:rsid w:val="009F47FF"/>
    <w:rsid w:val="00A0018D"/>
    <w:rsid w:val="00A046FF"/>
    <w:rsid w:val="00A26B9B"/>
    <w:rsid w:val="00A41D88"/>
    <w:rsid w:val="00A53253"/>
    <w:rsid w:val="00A6737F"/>
    <w:rsid w:val="00A842E7"/>
    <w:rsid w:val="00AB0CCB"/>
    <w:rsid w:val="00AD646D"/>
    <w:rsid w:val="00AE2D77"/>
    <w:rsid w:val="00B035AB"/>
    <w:rsid w:val="00B12A33"/>
    <w:rsid w:val="00B42F91"/>
    <w:rsid w:val="00B57A67"/>
    <w:rsid w:val="00B707AB"/>
    <w:rsid w:val="00B95037"/>
    <w:rsid w:val="00BB137C"/>
    <w:rsid w:val="00BC023D"/>
    <w:rsid w:val="00BC0CC5"/>
    <w:rsid w:val="00BC3A3E"/>
    <w:rsid w:val="00BE3BC9"/>
    <w:rsid w:val="00BF608C"/>
    <w:rsid w:val="00C0277E"/>
    <w:rsid w:val="00C07B4C"/>
    <w:rsid w:val="00C11CB7"/>
    <w:rsid w:val="00C24DBD"/>
    <w:rsid w:val="00C37DAD"/>
    <w:rsid w:val="00C630DE"/>
    <w:rsid w:val="00C97150"/>
    <w:rsid w:val="00CB4CF6"/>
    <w:rsid w:val="00CD03FF"/>
    <w:rsid w:val="00CE4415"/>
    <w:rsid w:val="00D028FB"/>
    <w:rsid w:val="00D02CDC"/>
    <w:rsid w:val="00D16C59"/>
    <w:rsid w:val="00D3509A"/>
    <w:rsid w:val="00D46A6F"/>
    <w:rsid w:val="00DC589E"/>
    <w:rsid w:val="00DD478D"/>
    <w:rsid w:val="00DE7C96"/>
    <w:rsid w:val="00E2719D"/>
    <w:rsid w:val="00E51689"/>
    <w:rsid w:val="00E74043"/>
    <w:rsid w:val="00E96B1B"/>
    <w:rsid w:val="00EA51AC"/>
    <w:rsid w:val="00EC32BB"/>
    <w:rsid w:val="00EE200F"/>
    <w:rsid w:val="00EF67C2"/>
    <w:rsid w:val="00F0787F"/>
    <w:rsid w:val="00F40749"/>
    <w:rsid w:val="00F53C23"/>
    <w:rsid w:val="00F7117C"/>
    <w:rsid w:val="00F80C09"/>
    <w:rsid w:val="00FB040A"/>
    <w:rsid w:val="00FD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87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0F0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8D798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D7988"/>
    <w:rPr>
      <w:vertAlign w:val="superscript"/>
    </w:rPr>
  </w:style>
  <w:style w:type="paragraph" w:styleId="Header">
    <w:name w:val="header"/>
    <w:basedOn w:val="Normal"/>
    <w:rsid w:val="000D4D0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4D0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797D26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E74043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87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0F0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8D798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D7988"/>
    <w:rPr>
      <w:vertAlign w:val="superscript"/>
    </w:rPr>
  </w:style>
  <w:style w:type="paragraph" w:styleId="Header">
    <w:name w:val="header"/>
    <w:basedOn w:val="Normal"/>
    <w:rsid w:val="000D4D0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4D0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797D26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E7404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A060F-4985-41D6-8477-D3E98B8B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Humanities</vt:lpstr>
    </vt:vector>
  </TitlesOfParts>
  <Company>University of Manchester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Humanities</dc:title>
  <dc:creator>mppusau2</dc:creator>
  <cp:lastModifiedBy>Andrew Mullen</cp:lastModifiedBy>
  <cp:revision>7</cp:revision>
  <cp:lastPrinted>2013-09-09T08:50:00Z</cp:lastPrinted>
  <dcterms:created xsi:type="dcterms:W3CDTF">2013-10-17T19:30:00Z</dcterms:created>
  <dcterms:modified xsi:type="dcterms:W3CDTF">2013-10-17T19:55:00Z</dcterms:modified>
</cp:coreProperties>
</file>