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192" w:rsidRPr="0009704B" w:rsidRDefault="00526192" w:rsidP="00526192">
      <w:pPr>
        <w:rPr>
          <w:b/>
        </w:rPr>
      </w:pPr>
      <w:bookmarkStart w:id="0" w:name="_GoBack"/>
      <w:bookmarkEnd w:id="0"/>
      <w:r w:rsidRPr="0009704B">
        <w:rPr>
          <w:b/>
        </w:rPr>
        <w:t xml:space="preserve">Improper Modernism: Samuel Beckett and </w:t>
      </w:r>
      <w:proofErr w:type="spellStart"/>
      <w:r w:rsidRPr="0009704B">
        <w:rPr>
          <w:b/>
        </w:rPr>
        <w:t>Djuna</w:t>
      </w:r>
      <w:proofErr w:type="spellEnd"/>
      <w:r w:rsidRPr="0009704B">
        <w:rPr>
          <w:b/>
        </w:rPr>
        <w:t xml:space="preserve"> Barnes</w:t>
      </w:r>
    </w:p>
    <w:p w:rsidR="00526192" w:rsidRPr="0009704B" w:rsidRDefault="00526192" w:rsidP="00526192">
      <w:pPr>
        <w:rPr>
          <w:b/>
        </w:rPr>
      </w:pPr>
    </w:p>
    <w:p w:rsidR="00526192" w:rsidRPr="0009704B" w:rsidRDefault="00526192" w:rsidP="00526192">
      <w:pPr>
        <w:rPr>
          <w:b/>
        </w:rPr>
      </w:pPr>
      <w:r w:rsidRPr="0009704B">
        <w:rPr>
          <w:b/>
        </w:rPr>
        <w:t>ENGL 33051</w:t>
      </w:r>
    </w:p>
    <w:p w:rsidR="00526192" w:rsidRPr="0009704B" w:rsidRDefault="00526192" w:rsidP="00526192">
      <w:pPr>
        <w:rPr>
          <w:b/>
        </w:rPr>
      </w:pPr>
    </w:p>
    <w:p w:rsidR="00526192" w:rsidRPr="00B45C95" w:rsidRDefault="00526192" w:rsidP="00526192"/>
    <w:p w:rsidR="00526192" w:rsidRPr="00B45C95" w:rsidRDefault="00526192" w:rsidP="00526192">
      <w:r w:rsidRPr="00B45C95">
        <w:t xml:space="preserve">The unit will study the oeuvres of Samuel Beckett (1906-1989) and </w:t>
      </w:r>
      <w:proofErr w:type="spellStart"/>
      <w:r w:rsidRPr="00B45C95">
        <w:t>Djuna</w:t>
      </w:r>
      <w:proofErr w:type="spellEnd"/>
      <w:r w:rsidRPr="00B45C95">
        <w:t xml:space="preserve"> Barnes (1892-1982). Beckett has been read as a ‘late modernist’ (Miller, 1999) and Barnes as a ‘bad modernist’ (Mao and </w:t>
      </w:r>
      <w:proofErr w:type="spellStart"/>
      <w:r w:rsidRPr="00B45C95">
        <w:t>Walkowitz</w:t>
      </w:r>
      <w:proofErr w:type="spellEnd"/>
      <w:r w:rsidRPr="00B45C95">
        <w:t xml:space="preserve">, 2006), because of their close connections with modernist linguistic experimentalism and their critique of what by the 1930s were perceived to be modernist dogmas. After a few introductory sessions on modernism (with a focus on some high modernists), the course will analyse in close detail a select number of texts by both authors and link them to wider critical debates around cultural and aesthetic value, authority, </w:t>
      </w:r>
      <w:proofErr w:type="spellStart"/>
      <w:r w:rsidRPr="00B45C95">
        <w:t>intertextuality</w:t>
      </w:r>
      <w:proofErr w:type="spellEnd"/>
      <w:r w:rsidRPr="00B45C95">
        <w:t>, and periodization in the twentieth century.</w:t>
      </w:r>
    </w:p>
    <w:p w:rsidR="00526192" w:rsidRPr="00B45C95" w:rsidRDefault="00526192" w:rsidP="00526192"/>
    <w:p w:rsidR="00526192" w:rsidRPr="00B45C95" w:rsidRDefault="00526192" w:rsidP="00526192">
      <w:r w:rsidRPr="00B45C95">
        <w:t xml:space="preserve">The module’s aim is twofold; on the one hand, it wants to familiarise students with the complex work of a major twentieth-century literary author – Samuel Beckett – and a less known one – </w:t>
      </w:r>
      <w:proofErr w:type="spellStart"/>
      <w:r w:rsidRPr="00B45C95">
        <w:t>Djuna</w:t>
      </w:r>
      <w:proofErr w:type="spellEnd"/>
      <w:r w:rsidRPr="00B45C95">
        <w:t xml:space="preserve"> Barnes. On the other hand, the module wants to use Beckett and Barnes as case studies to engage in a number of debates about modern aesthetics and epistemology, literary history and periodization, and questions of literary value and complexity in the twentieth century. </w:t>
      </w:r>
    </w:p>
    <w:p w:rsidR="00526192" w:rsidRPr="00B45C95" w:rsidRDefault="00526192" w:rsidP="00526192">
      <w:pPr>
        <w:numPr>
          <w:ilvl w:val="12"/>
          <w:numId w:val="0"/>
        </w:numPr>
      </w:pPr>
    </w:p>
    <w:p w:rsidR="00526192" w:rsidRPr="00B45C95" w:rsidRDefault="00526192" w:rsidP="00526192">
      <w:pPr>
        <w:numPr>
          <w:ilvl w:val="12"/>
          <w:numId w:val="0"/>
        </w:numPr>
      </w:pPr>
      <w:r w:rsidRPr="00B45C95">
        <w:t xml:space="preserve">The course will be based on the close analysis of the primary texts and related criticism, emphasising how the complexity of the material at hand can help us to rethink some key literary and critical questions in the twentieth-century, such as cultural value, authority, </w:t>
      </w:r>
      <w:proofErr w:type="spellStart"/>
      <w:r w:rsidRPr="00B45C95">
        <w:t>intertextuality</w:t>
      </w:r>
      <w:proofErr w:type="spellEnd"/>
      <w:r w:rsidRPr="00B45C95">
        <w:t>, and periodization.</w:t>
      </w:r>
    </w:p>
    <w:p w:rsidR="00526192" w:rsidRPr="0009704B" w:rsidRDefault="00526192" w:rsidP="00526192">
      <w:pPr>
        <w:numPr>
          <w:ilvl w:val="12"/>
          <w:numId w:val="0"/>
        </w:numPr>
        <w:rPr>
          <w:b/>
        </w:rPr>
      </w:pPr>
    </w:p>
    <w:p w:rsidR="00526192" w:rsidRPr="0009704B" w:rsidRDefault="00526192" w:rsidP="00526192">
      <w:pPr>
        <w:numPr>
          <w:ilvl w:val="12"/>
          <w:numId w:val="0"/>
        </w:numPr>
        <w:rPr>
          <w:b/>
        </w:rPr>
      </w:pPr>
      <w:r w:rsidRPr="0009704B">
        <w:rPr>
          <w:b/>
        </w:rPr>
        <w:t>READING LIST</w:t>
      </w:r>
    </w:p>
    <w:p w:rsidR="00526192" w:rsidRPr="00B45C95" w:rsidRDefault="00526192" w:rsidP="00526192">
      <w:pPr>
        <w:numPr>
          <w:ilvl w:val="12"/>
          <w:numId w:val="0"/>
        </w:numPr>
      </w:pPr>
    </w:p>
    <w:p w:rsidR="00526192" w:rsidRPr="00B45C95" w:rsidRDefault="00526192" w:rsidP="00526192">
      <w:pPr>
        <w:numPr>
          <w:ilvl w:val="12"/>
          <w:numId w:val="0"/>
        </w:numPr>
      </w:pPr>
      <w:r w:rsidRPr="00B45C95">
        <w:t>Primary Texts</w:t>
      </w:r>
    </w:p>
    <w:p w:rsidR="00526192" w:rsidRPr="0009704B" w:rsidRDefault="00526192" w:rsidP="00526192">
      <w:pPr>
        <w:numPr>
          <w:ilvl w:val="12"/>
          <w:numId w:val="0"/>
        </w:numPr>
        <w:rPr>
          <w:b/>
          <w:u w:val="single"/>
        </w:rPr>
      </w:pPr>
      <w:r w:rsidRPr="0009704B">
        <w:rPr>
          <w:b/>
          <w:u w:val="single"/>
        </w:rPr>
        <w:t>Please buy the editions specified here</w:t>
      </w:r>
    </w:p>
    <w:p w:rsidR="00526192" w:rsidRPr="00B45C95" w:rsidRDefault="00526192" w:rsidP="00526192">
      <w:pPr>
        <w:numPr>
          <w:ilvl w:val="12"/>
          <w:numId w:val="0"/>
        </w:numPr>
      </w:pPr>
    </w:p>
    <w:p w:rsidR="00526192" w:rsidRPr="00526192" w:rsidRDefault="00526192" w:rsidP="00526192">
      <w:pPr>
        <w:numPr>
          <w:ilvl w:val="12"/>
          <w:numId w:val="0"/>
        </w:numPr>
        <w:rPr>
          <w:b/>
        </w:rPr>
      </w:pPr>
      <w:r w:rsidRPr="0009704B">
        <w:rPr>
          <w:b/>
        </w:rPr>
        <w:t>Samuel Beckett</w:t>
      </w:r>
    </w:p>
    <w:p w:rsidR="00526192" w:rsidRDefault="00526192" w:rsidP="00526192">
      <w:pPr>
        <w:numPr>
          <w:ilvl w:val="0"/>
          <w:numId w:val="3"/>
        </w:numPr>
        <w:tabs>
          <w:tab w:val="clear" w:pos="720"/>
          <w:tab w:val="num" w:pos="284"/>
        </w:tabs>
        <w:ind w:left="284" w:hanging="295"/>
      </w:pPr>
      <w:r>
        <w:rPr>
          <w:i/>
        </w:rPr>
        <w:t>Murphy</w:t>
      </w:r>
      <w:r>
        <w:t>, ed. J.C.C. Mays (London: Faber and Faber, 2009)</w:t>
      </w:r>
    </w:p>
    <w:p w:rsidR="00526192" w:rsidRPr="0009704B" w:rsidRDefault="00526192" w:rsidP="00526192">
      <w:pPr>
        <w:numPr>
          <w:ilvl w:val="0"/>
          <w:numId w:val="3"/>
        </w:numPr>
        <w:tabs>
          <w:tab w:val="clear" w:pos="720"/>
          <w:tab w:val="num" w:pos="284"/>
        </w:tabs>
        <w:ind w:left="284" w:hanging="295"/>
      </w:pPr>
      <w:r>
        <w:rPr>
          <w:i/>
        </w:rPr>
        <w:t>Molloy</w:t>
      </w:r>
      <w:r>
        <w:t>, ed. Shane Weller (London: Faber and Faber, 2009)</w:t>
      </w:r>
    </w:p>
    <w:p w:rsidR="00526192" w:rsidRDefault="00526192" w:rsidP="00526192">
      <w:pPr>
        <w:numPr>
          <w:ilvl w:val="0"/>
          <w:numId w:val="3"/>
        </w:numPr>
        <w:tabs>
          <w:tab w:val="clear" w:pos="720"/>
          <w:tab w:val="num" w:pos="284"/>
        </w:tabs>
        <w:ind w:left="284" w:hanging="295"/>
      </w:pPr>
      <w:r>
        <w:rPr>
          <w:i/>
        </w:rPr>
        <w:t>Texts for N</w:t>
      </w:r>
      <w:r>
        <w:rPr>
          <w:i/>
        </w:rPr>
        <w:t xml:space="preserve">othing and Other Shorter Prose, </w:t>
      </w:r>
      <w:r>
        <w:rPr>
          <w:i/>
        </w:rPr>
        <w:t>1950–1976</w:t>
      </w:r>
      <w:r>
        <w:t>, ed. Mark Nixon (London: Faber and Faber, 2010)</w:t>
      </w:r>
    </w:p>
    <w:p w:rsidR="00526192" w:rsidRPr="00B45C95" w:rsidRDefault="00526192" w:rsidP="00526192">
      <w:pPr>
        <w:numPr>
          <w:ilvl w:val="0"/>
          <w:numId w:val="3"/>
        </w:numPr>
        <w:tabs>
          <w:tab w:val="clear" w:pos="720"/>
          <w:tab w:val="num" w:pos="284"/>
        </w:tabs>
        <w:ind w:left="284" w:hanging="295"/>
      </w:pPr>
      <w:r>
        <w:rPr>
          <w:i/>
        </w:rPr>
        <w:t xml:space="preserve">The Complete Dramatic Work by Samuel Beckett </w:t>
      </w:r>
      <w:r>
        <w:t xml:space="preserve">(London: Faber and Faber, 1998). Focus on </w:t>
      </w:r>
      <w:r>
        <w:rPr>
          <w:i/>
        </w:rPr>
        <w:t>Endgame</w:t>
      </w:r>
      <w:r>
        <w:t xml:space="preserve"> and </w:t>
      </w:r>
      <w:r>
        <w:rPr>
          <w:i/>
        </w:rPr>
        <w:t>Play</w:t>
      </w:r>
      <w:r>
        <w:t>.</w:t>
      </w:r>
    </w:p>
    <w:p w:rsidR="00526192" w:rsidRPr="00B45C95" w:rsidRDefault="00526192" w:rsidP="00526192">
      <w:pPr>
        <w:numPr>
          <w:ilvl w:val="12"/>
          <w:numId w:val="0"/>
        </w:numPr>
      </w:pPr>
    </w:p>
    <w:p w:rsidR="00526192" w:rsidRPr="0009704B" w:rsidRDefault="00526192" w:rsidP="00526192">
      <w:pPr>
        <w:numPr>
          <w:ilvl w:val="12"/>
          <w:numId w:val="0"/>
        </w:numPr>
        <w:rPr>
          <w:b/>
        </w:rPr>
      </w:pPr>
      <w:proofErr w:type="spellStart"/>
      <w:r w:rsidRPr="0009704B">
        <w:rPr>
          <w:b/>
        </w:rPr>
        <w:t>Djuna</w:t>
      </w:r>
      <w:proofErr w:type="spellEnd"/>
      <w:r w:rsidRPr="0009704B">
        <w:rPr>
          <w:b/>
        </w:rPr>
        <w:t xml:space="preserve"> Barnes </w:t>
      </w:r>
    </w:p>
    <w:p w:rsidR="00526192" w:rsidRPr="00526192" w:rsidRDefault="00526192" w:rsidP="00526192">
      <w:pPr>
        <w:numPr>
          <w:ilvl w:val="0"/>
          <w:numId w:val="2"/>
        </w:numPr>
        <w:tabs>
          <w:tab w:val="clear" w:pos="720"/>
        </w:tabs>
        <w:ind w:left="284" w:hanging="284"/>
        <w:jc w:val="both"/>
      </w:pPr>
      <w:r>
        <w:rPr>
          <w:i/>
        </w:rPr>
        <w:t>Collected Stories</w:t>
      </w:r>
      <w:r>
        <w:t xml:space="preserve"> (Los Angeles: Sun and Moon Press, 1997)</w:t>
      </w:r>
      <w:proofErr w:type="gramStart"/>
      <w:r>
        <w:t>.*</w:t>
      </w:r>
      <w:proofErr w:type="gramEnd"/>
    </w:p>
    <w:p w:rsidR="00526192" w:rsidRPr="006D752C" w:rsidRDefault="00526192" w:rsidP="00526192">
      <w:pPr>
        <w:numPr>
          <w:ilvl w:val="0"/>
          <w:numId w:val="2"/>
        </w:numPr>
        <w:tabs>
          <w:tab w:val="clear" w:pos="720"/>
        </w:tabs>
        <w:ind w:left="284" w:hanging="284"/>
        <w:jc w:val="both"/>
      </w:pPr>
      <w:r>
        <w:rPr>
          <w:i/>
        </w:rPr>
        <w:t>Ryder</w:t>
      </w:r>
      <w:r>
        <w:t>, with an Afterword by Paul West</w:t>
      </w:r>
      <w:r>
        <w:rPr>
          <w:i/>
        </w:rPr>
        <w:t xml:space="preserve"> </w:t>
      </w:r>
      <w:r>
        <w:t xml:space="preserve">(Normal, IL: The </w:t>
      </w:r>
      <w:proofErr w:type="spellStart"/>
      <w:r>
        <w:t>Dalkey</w:t>
      </w:r>
      <w:proofErr w:type="spellEnd"/>
      <w:r>
        <w:t xml:space="preserve"> Archive Press, 1995 [1928]).</w:t>
      </w:r>
    </w:p>
    <w:p w:rsidR="00526192" w:rsidRDefault="00526192" w:rsidP="00526192">
      <w:pPr>
        <w:numPr>
          <w:ilvl w:val="0"/>
          <w:numId w:val="2"/>
        </w:numPr>
        <w:tabs>
          <w:tab w:val="clear" w:pos="720"/>
        </w:tabs>
        <w:ind w:left="284" w:hanging="284"/>
        <w:jc w:val="both"/>
      </w:pPr>
      <w:proofErr w:type="spellStart"/>
      <w:r>
        <w:rPr>
          <w:i/>
        </w:rPr>
        <w:t>Nightwood</w:t>
      </w:r>
      <w:proofErr w:type="spellEnd"/>
      <w:r>
        <w:t xml:space="preserve">, New Introduction by Jeanette </w:t>
      </w:r>
      <w:proofErr w:type="spellStart"/>
      <w:r>
        <w:t>Winterson</w:t>
      </w:r>
      <w:proofErr w:type="spellEnd"/>
      <w:r>
        <w:t>, with a Preface by T.S. Eliot (London: Faber and Faber, 2007 [1936]).</w:t>
      </w:r>
    </w:p>
    <w:p w:rsidR="00526192" w:rsidRPr="00526192" w:rsidRDefault="00526192" w:rsidP="00526192">
      <w:pPr>
        <w:numPr>
          <w:ilvl w:val="0"/>
          <w:numId w:val="2"/>
        </w:numPr>
        <w:tabs>
          <w:tab w:val="clear" w:pos="720"/>
        </w:tabs>
        <w:ind w:left="284" w:hanging="284"/>
        <w:jc w:val="both"/>
      </w:pPr>
      <w:r w:rsidRPr="0009704B">
        <w:rPr>
          <w:i/>
        </w:rPr>
        <w:t xml:space="preserve">Selected Works of </w:t>
      </w:r>
      <w:proofErr w:type="spellStart"/>
      <w:r w:rsidRPr="0009704B">
        <w:rPr>
          <w:i/>
        </w:rPr>
        <w:t>Djuna</w:t>
      </w:r>
      <w:proofErr w:type="spellEnd"/>
      <w:r w:rsidRPr="0009704B">
        <w:rPr>
          <w:i/>
        </w:rPr>
        <w:t xml:space="preserve"> Barnes. Spillway / The Antiphon / </w:t>
      </w:r>
      <w:proofErr w:type="spellStart"/>
      <w:r w:rsidRPr="0009704B">
        <w:rPr>
          <w:i/>
        </w:rPr>
        <w:t>Nightwood</w:t>
      </w:r>
      <w:proofErr w:type="spellEnd"/>
      <w:r w:rsidRPr="0009704B">
        <w:t xml:space="preserve"> (London: Faber and Faber, 1998 [1962]) OR </w:t>
      </w:r>
      <w:r w:rsidRPr="0009704B">
        <w:rPr>
          <w:i/>
        </w:rPr>
        <w:t>The Antiphon</w:t>
      </w:r>
      <w:r w:rsidRPr="0009704B">
        <w:t xml:space="preserve"> (</w:t>
      </w:r>
      <w:r w:rsidRPr="0009704B">
        <w:rPr>
          <w:rFonts w:cs="Verdana"/>
          <w:sz w:val="22"/>
          <w:szCs w:val="22"/>
          <w:lang w:val="en-US" w:bidi="en-US"/>
        </w:rPr>
        <w:t>Saint Paul, MN: Green Integer, 2003)</w:t>
      </w:r>
      <w:proofErr w:type="gramStart"/>
      <w:r>
        <w:rPr>
          <w:rFonts w:cs="Verdana"/>
          <w:sz w:val="22"/>
          <w:szCs w:val="22"/>
          <w:lang w:val="en-US" w:bidi="en-US"/>
        </w:rPr>
        <w:t>.*</w:t>
      </w:r>
      <w:proofErr w:type="gramEnd"/>
    </w:p>
    <w:p w:rsidR="00526192" w:rsidRDefault="00526192" w:rsidP="00526192">
      <w:pPr>
        <w:jc w:val="both"/>
      </w:pPr>
    </w:p>
    <w:p w:rsidR="00526192" w:rsidRPr="00526192" w:rsidRDefault="00526192" w:rsidP="00526192">
      <w:pPr>
        <w:jc w:val="both"/>
        <w:rPr>
          <w:i/>
        </w:rPr>
      </w:pPr>
      <w:r>
        <w:rPr>
          <w:rFonts w:cs="Verdana"/>
          <w:sz w:val="22"/>
          <w:szCs w:val="22"/>
          <w:lang w:val="en-US" w:bidi="en-US"/>
        </w:rPr>
        <w:lastRenderedPageBreak/>
        <w:t xml:space="preserve">* </w:t>
      </w:r>
      <w:r w:rsidRPr="00526192">
        <w:rPr>
          <w:rFonts w:cs="Verdana"/>
          <w:sz w:val="22"/>
          <w:szCs w:val="22"/>
          <w:lang w:val="en-US" w:bidi="en-US"/>
        </w:rPr>
        <w:t xml:space="preserve">Please note, if you buy </w:t>
      </w:r>
      <w:r w:rsidRPr="00526192">
        <w:rPr>
          <w:rFonts w:cs="Verdana"/>
          <w:i/>
          <w:sz w:val="22"/>
          <w:szCs w:val="22"/>
          <w:lang w:val="en-US" w:bidi="en-US"/>
        </w:rPr>
        <w:t>Selected</w:t>
      </w:r>
      <w:r>
        <w:rPr>
          <w:rFonts w:cs="Verdana"/>
          <w:i/>
          <w:sz w:val="22"/>
          <w:szCs w:val="22"/>
          <w:lang w:val="en-US" w:bidi="en-US"/>
        </w:rPr>
        <w:t xml:space="preserve"> Works</w:t>
      </w:r>
      <w:r>
        <w:rPr>
          <w:rFonts w:cs="Verdana"/>
          <w:sz w:val="22"/>
          <w:szCs w:val="22"/>
          <w:lang w:val="en-US" w:bidi="en-US"/>
        </w:rPr>
        <w:t xml:space="preserve"> you do NOT need to buy the </w:t>
      </w:r>
      <w:r>
        <w:rPr>
          <w:rFonts w:cs="Verdana"/>
          <w:i/>
          <w:sz w:val="22"/>
          <w:szCs w:val="22"/>
          <w:lang w:val="en-US" w:bidi="en-US"/>
        </w:rPr>
        <w:t xml:space="preserve">Collected Stories </w:t>
      </w:r>
      <w:r w:rsidRPr="00526192">
        <w:rPr>
          <w:rFonts w:cs="Verdana"/>
          <w:sz w:val="22"/>
          <w:szCs w:val="22"/>
          <w:lang w:val="en-US" w:bidi="en-US"/>
        </w:rPr>
        <w:t>(</w:t>
      </w:r>
      <w:proofErr w:type="spellStart"/>
      <w:r>
        <w:rPr>
          <w:rFonts w:cs="Verdana"/>
          <w:sz w:val="22"/>
          <w:szCs w:val="22"/>
          <w:lang w:val="en-US" w:bidi="en-US"/>
        </w:rPr>
        <w:t>ie</w:t>
      </w:r>
      <w:proofErr w:type="spellEnd"/>
      <w:r>
        <w:rPr>
          <w:rFonts w:cs="Verdana"/>
          <w:sz w:val="22"/>
          <w:szCs w:val="22"/>
          <w:lang w:val="en-US" w:bidi="en-US"/>
        </w:rPr>
        <w:t xml:space="preserve"> it may well work out cheaper)</w:t>
      </w:r>
    </w:p>
    <w:p w:rsidR="00526192" w:rsidRPr="00B45C95" w:rsidRDefault="00526192" w:rsidP="00526192">
      <w:pPr>
        <w:numPr>
          <w:ilvl w:val="12"/>
          <w:numId w:val="0"/>
        </w:numPr>
      </w:pPr>
    </w:p>
    <w:p w:rsidR="00526192" w:rsidRPr="00B45C95" w:rsidRDefault="00526192" w:rsidP="00526192">
      <w:pPr>
        <w:ind w:left="284" w:hanging="284"/>
      </w:pPr>
    </w:p>
    <w:p w:rsidR="00526192" w:rsidRPr="00526192" w:rsidRDefault="00526192" w:rsidP="00526192">
      <w:pPr>
        <w:ind w:left="284" w:hanging="284"/>
        <w:rPr>
          <w:b/>
        </w:rPr>
      </w:pPr>
      <w:r w:rsidRPr="0009704B">
        <w:rPr>
          <w:b/>
        </w:rPr>
        <w:t xml:space="preserve">Key </w:t>
      </w:r>
      <w:proofErr w:type="spellStart"/>
      <w:r w:rsidRPr="0009704B">
        <w:rPr>
          <w:b/>
        </w:rPr>
        <w:t>Seconday</w:t>
      </w:r>
      <w:proofErr w:type="spellEnd"/>
      <w:r w:rsidRPr="0009704B">
        <w:rPr>
          <w:b/>
        </w:rPr>
        <w:t xml:space="preserve"> Texts</w:t>
      </w:r>
    </w:p>
    <w:p w:rsidR="00526192" w:rsidRPr="00B45C95" w:rsidRDefault="00526192" w:rsidP="00526192">
      <w:pPr>
        <w:widowControl w:val="0"/>
        <w:numPr>
          <w:ilvl w:val="0"/>
          <w:numId w:val="1"/>
        </w:numPr>
        <w:tabs>
          <w:tab w:val="clear" w:pos="720"/>
        </w:tabs>
        <w:autoSpaceDE w:val="0"/>
        <w:autoSpaceDN w:val="0"/>
        <w:adjustRightInd w:val="0"/>
        <w:ind w:left="284" w:hanging="284"/>
        <w:rPr>
          <w:rFonts w:ascii="TimesNewRomanPSMT" w:hAnsi="TimesNewRomanPSMT" w:cs="TimesNewRomanPSMT"/>
        </w:rPr>
      </w:pPr>
      <w:r w:rsidRPr="00B45C95">
        <w:rPr>
          <w:rFonts w:ascii="TimesNewRomanPSMT" w:hAnsi="TimesNewRomanPSMT" w:cs="TimesNewRomanPSMT"/>
        </w:rPr>
        <w:t xml:space="preserve">Nicholls, Peter, </w:t>
      </w:r>
      <w:r w:rsidRPr="00B45C95">
        <w:rPr>
          <w:rFonts w:ascii="TimesNewRomanPS-ItalicMT" w:hAnsi="TimesNewRomanPS-ItalicMT" w:cs="TimesNewRomanPS-ItalicMT"/>
          <w:i/>
          <w:iCs/>
        </w:rPr>
        <w:t>Modernisms: A Literary Guide</w:t>
      </w:r>
      <w:r w:rsidRPr="00B45C95">
        <w:rPr>
          <w:rFonts w:ascii="TimesNewRomanPSMT" w:hAnsi="TimesNewRomanPSMT" w:cs="TimesNewRomanPSMT"/>
        </w:rPr>
        <w:t xml:space="preserve"> (Basingstoke: Macmillan, 1995).</w:t>
      </w:r>
    </w:p>
    <w:p w:rsidR="00526192" w:rsidRPr="00B45C95" w:rsidRDefault="00526192" w:rsidP="00526192">
      <w:pPr>
        <w:widowControl w:val="0"/>
        <w:numPr>
          <w:ilvl w:val="0"/>
          <w:numId w:val="1"/>
        </w:numPr>
        <w:tabs>
          <w:tab w:val="clear" w:pos="720"/>
        </w:tabs>
        <w:autoSpaceDE w:val="0"/>
        <w:autoSpaceDN w:val="0"/>
        <w:adjustRightInd w:val="0"/>
        <w:ind w:left="284" w:hanging="284"/>
        <w:jc w:val="both"/>
      </w:pPr>
      <w:proofErr w:type="spellStart"/>
      <w:r w:rsidRPr="00B45C95">
        <w:rPr>
          <w:rFonts w:ascii="TimesNewRomanPSMT" w:hAnsi="TimesNewRomanPSMT" w:cs="TimesNewRomanPSMT"/>
        </w:rPr>
        <w:t>Kolocotroni</w:t>
      </w:r>
      <w:proofErr w:type="spellEnd"/>
      <w:r w:rsidRPr="00B45C95">
        <w:rPr>
          <w:rFonts w:ascii="TimesNewRomanPSMT" w:hAnsi="TimesNewRomanPSMT" w:cs="TimesNewRomanPSMT"/>
        </w:rPr>
        <w:t xml:space="preserve">, </w:t>
      </w:r>
      <w:proofErr w:type="spellStart"/>
      <w:r w:rsidRPr="00B45C95">
        <w:rPr>
          <w:rFonts w:ascii="TimesNewRomanPSMT" w:hAnsi="TimesNewRomanPSMT" w:cs="TimesNewRomanPSMT"/>
        </w:rPr>
        <w:t>Vassiliki</w:t>
      </w:r>
      <w:proofErr w:type="spellEnd"/>
      <w:r w:rsidRPr="00B45C95">
        <w:rPr>
          <w:rFonts w:ascii="TimesNewRomanPSMT" w:hAnsi="TimesNewRomanPSMT" w:cs="TimesNewRomanPSMT"/>
        </w:rPr>
        <w:t xml:space="preserve">, Jane Goldman and Olga </w:t>
      </w:r>
      <w:proofErr w:type="spellStart"/>
      <w:r w:rsidRPr="00B45C95">
        <w:rPr>
          <w:rFonts w:ascii="TimesNewRomanPSMT" w:hAnsi="TimesNewRomanPSMT" w:cs="TimesNewRomanPSMT"/>
        </w:rPr>
        <w:t>Taxidou</w:t>
      </w:r>
      <w:proofErr w:type="spellEnd"/>
      <w:r w:rsidRPr="00B45C95">
        <w:rPr>
          <w:rFonts w:ascii="TimesNewRomanPSMT" w:hAnsi="TimesNewRomanPSMT" w:cs="TimesNewRomanPSMT"/>
        </w:rPr>
        <w:t xml:space="preserve"> (</w:t>
      </w:r>
      <w:proofErr w:type="spellStart"/>
      <w:r w:rsidRPr="00B45C95">
        <w:rPr>
          <w:rFonts w:ascii="TimesNewRomanPSMT" w:hAnsi="TimesNewRomanPSMT" w:cs="TimesNewRomanPSMT"/>
        </w:rPr>
        <w:t>eds</w:t>
      </w:r>
      <w:proofErr w:type="spellEnd"/>
      <w:r w:rsidRPr="00B45C95">
        <w:rPr>
          <w:rFonts w:ascii="TimesNewRomanPSMT" w:hAnsi="TimesNewRomanPSMT" w:cs="TimesNewRomanPSMT"/>
        </w:rPr>
        <w:t xml:space="preserve">), </w:t>
      </w:r>
      <w:r w:rsidRPr="00B45C95">
        <w:rPr>
          <w:rFonts w:ascii="TimesNewRomanPS-ItalicMT" w:hAnsi="TimesNewRomanPS-ItalicMT" w:cs="TimesNewRomanPS-ItalicMT"/>
          <w:i/>
          <w:iCs/>
        </w:rPr>
        <w:t>Modernism: An Anthology of Sources and Documents</w:t>
      </w:r>
      <w:r w:rsidRPr="00B45C95">
        <w:rPr>
          <w:rFonts w:ascii="TimesNewRomanPSMT" w:hAnsi="TimesNewRomanPSMT" w:cs="TimesNewRomanPSMT"/>
        </w:rPr>
        <w:t xml:space="preserve"> (Edinburgh: Edinburgh University Press, 1998).</w:t>
      </w:r>
    </w:p>
    <w:p w:rsidR="00526192" w:rsidRPr="00B45C95" w:rsidRDefault="00526192" w:rsidP="00526192">
      <w:pPr>
        <w:widowControl w:val="0"/>
        <w:numPr>
          <w:ilvl w:val="0"/>
          <w:numId w:val="1"/>
        </w:numPr>
        <w:tabs>
          <w:tab w:val="clear" w:pos="720"/>
        </w:tabs>
        <w:autoSpaceDE w:val="0"/>
        <w:autoSpaceDN w:val="0"/>
        <w:adjustRightInd w:val="0"/>
        <w:ind w:left="284" w:hanging="284"/>
      </w:pPr>
      <w:r w:rsidRPr="00B45C95">
        <w:t xml:space="preserve">Miller, </w:t>
      </w:r>
      <w:proofErr w:type="spellStart"/>
      <w:r w:rsidRPr="00B45C95">
        <w:t>Tyrus</w:t>
      </w:r>
      <w:proofErr w:type="spellEnd"/>
      <w:r w:rsidRPr="00B45C95">
        <w:t xml:space="preserve">, </w:t>
      </w:r>
      <w:proofErr w:type="gramStart"/>
      <w:r w:rsidRPr="00B45C95">
        <w:rPr>
          <w:i/>
        </w:rPr>
        <w:t>Late</w:t>
      </w:r>
      <w:proofErr w:type="gramEnd"/>
      <w:r w:rsidRPr="00B45C95">
        <w:rPr>
          <w:i/>
        </w:rPr>
        <w:t xml:space="preserve"> Modernism: Politics, Fiction, and the Arts Between the Worlds Wars</w:t>
      </w:r>
      <w:r w:rsidRPr="00B45C95">
        <w:t xml:space="preserve"> (Berkeley: University of California Press, 1999).</w:t>
      </w:r>
    </w:p>
    <w:p w:rsidR="00526192" w:rsidRPr="00B45C95" w:rsidRDefault="00526192" w:rsidP="00526192">
      <w:pPr>
        <w:widowControl w:val="0"/>
        <w:numPr>
          <w:ilvl w:val="0"/>
          <w:numId w:val="1"/>
        </w:numPr>
        <w:tabs>
          <w:tab w:val="clear" w:pos="720"/>
        </w:tabs>
        <w:autoSpaceDE w:val="0"/>
        <w:autoSpaceDN w:val="0"/>
        <w:adjustRightInd w:val="0"/>
        <w:ind w:left="284" w:hanging="284"/>
      </w:pPr>
      <w:r w:rsidRPr="00B45C95">
        <w:t xml:space="preserve">Douglas Mao and Rebecca L. </w:t>
      </w:r>
      <w:proofErr w:type="spellStart"/>
      <w:r w:rsidRPr="00B45C95">
        <w:t>Walkowitz</w:t>
      </w:r>
      <w:proofErr w:type="spellEnd"/>
      <w:r w:rsidRPr="00B45C95">
        <w:t xml:space="preserve">, </w:t>
      </w:r>
      <w:r w:rsidRPr="00B45C95">
        <w:rPr>
          <w:i/>
        </w:rPr>
        <w:t xml:space="preserve">Bad Modernisms </w:t>
      </w:r>
      <w:r w:rsidRPr="00B45C95">
        <w:t>(Durham, NC and London: Duke University Press, 2006).</w:t>
      </w:r>
    </w:p>
    <w:p w:rsidR="00526192" w:rsidRPr="00B45C95" w:rsidRDefault="00526192" w:rsidP="00526192">
      <w:pPr>
        <w:widowControl w:val="0"/>
        <w:numPr>
          <w:ilvl w:val="0"/>
          <w:numId w:val="1"/>
        </w:numPr>
        <w:tabs>
          <w:tab w:val="clear" w:pos="720"/>
        </w:tabs>
        <w:autoSpaceDE w:val="0"/>
        <w:autoSpaceDN w:val="0"/>
        <w:adjustRightInd w:val="0"/>
        <w:ind w:left="284" w:hanging="284"/>
        <w:rPr>
          <w:rFonts w:ascii="TimesNewRomanPSMT" w:hAnsi="TimesNewRomanPSMT" w:cs="TimesNewRomanPSMT"/>
        </w:rPr>
      </w:pPr>
      <w:r w:rsidRPr="00B45C95">
        <w:rPr>
          <w:rFonts w:ascii="TimesNewRomanPSMT" w:hAnsi="TimesNewRomanPSMT" w:cs="TimesNewRomanPSMT"/>
        </w:rPr>
        <w:t xml:space="preserve">Cohn, Ruby, </w:t>
      </w:r>
      <w:r w:rsidRPr="00B45C95">
        <w:rPr>
          <w:rFonts w:ascii="TimesNewRomanPS-ItalicMT" w:hAnsi="TimesNewRomanPS-ItalicMT" w:cs="TimesNewRomanPS-ItalicMT"/>
          <w:i/>
          <w:iCs/>
        </w:rPr>
        <w:t xml:space="preserve">A Beckett Canon </w:t>
      </w:r>
      <w:r w:rsidRPr="00B45C95">
        <w:rPr>
          <w:rFonts w:ascii="TimesNewRomanPSMT" w:hAnsi="TimesNewRomanPSMT" w:cs="TimesNewRomanPSMT"/>
        </w:rPr>
        <w:t xml:space="preserve">(Ann </w:t>
      </w:r>
      <w:proofErr w:type="spellStart"/>
      <w:r w:rsidRPr="00B45C95">
        <w:rPr>
          <w:rFonts w:ascii="TimesNewRomanPSMT" w:hAnsi="TimesNewRomanPSMT" w:cs="TimesNewRomanPSMT"/>
        </w:rPr>
        <w:t>Arbor</w:t>
      </w:r>
      <w:proofErr w:type="spellEnd"/>
      <w:r w:rsidRPr="00B45C95">
        <w:rPr>
          <w:rFonts w:ascii="TimesNewRomanPSMT" w:hAnsi="TimesNewRomanPSMT" w:cs="TimesNewRomanPSMT"/>
        </w:rPr>
        <w:t>: University of Michigan, 2002).</w:t>
      </w:r>
    </w:p>
    <w:p w:rsidR="00956951" w:rsidRDefault="00526192" w:rsidP="00526192">
      <w:pPr>
        <w:widowControl w:val="0"/>
        <w:numPr>
          <w:ilvl w:val="0"/>
          <w:numId w:val="1"/>
        </w:numPr>
        <w:tabs>
          <w:tab w:val="clear" w:pos="720"/>
        </w:tabs>
        <w:autoSpaceDE w:val="0"/>
        <w:autoSpaceDN w:val="0"/>
        <w:adjustRightInd w:val="0"/>
        <w:ind w:left="284" w:hanging="284"/>
      </w:pPr>
      <w:r w:rsidRPr="00B45C95">
        <w:t xml:space="preserve">Caselli, Daniela, </w:t>
      </w:r>
      <w:r w:rsidRPr="00B45C95">
        <w:rPr>
          <w:i/>
        </w:rPr>
        <w:t xml:space="preserve">Improper Modernism: </w:t>
      </w:r>
      <w:proofErr w:type="spellStart"/>
      <w:r w:rsidRPr="00B45C95">
        <w:rPr>
          <w:i/>
        </w:rPr>
        <w:t>Djuna</w:t>
      </w:r>
      <w:proofErr w:type="spellEnd"/>
      <w:r w:rsidRPr="00B45C95">
        <w:rPr>
          <w:i/>
        </w:rPr>
        <w:t xml:space="preserve"> Barnes’s Bewildering Corpus </w:t>
      </w:r>
      <w:r w:rsidRPr="00B45C95">
        <w:t xml:space="preserve">(Burlington: </w:t>
      </w:r>
      <w:proofErr w:type="spellStart"/>
      <w:r w:rsidRPr="00B45C95">
        <w:t>Ashgate</w:t>
      </w:r>
      <w:proofErr w:type="spellEnd"/>
      <w:r w:rsidRPr="00B45C95">
        <w:t>, 2009).</w:t>
      </w:r>
    </w:p>
    <w:sectPr w:rsidR="00956951" w:rsidSect="00133140">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00000287" w:usb1="00000000" w:usb2="00000000" w:usb3="00000000" w:csb0="0000019F" w:csb1="00000000"/>
  </w:font>
  <w:font w:name="TimesNewRomanPSMT">
    <w:altName w:val="Times New Roman"/>
    <w:panose1 w:val="00000000000000000000"/>
    <w:charset w:val="4D"/>
    <w:family w:val="swiss"/>
    <w:notTrueType/>
    <w:pitch w:val="default"/>
    <w:sig w:usb0="00000003" w:usb1="00000000" w:usb2="00000000" w:usb3="00000000" w:csb0="00000001" w:csb1="00000000"/>
  </w:font>
  <w:font w:name="TimesNewRomanPS-ItalicMT">
    <w:altName w:val="Times New Roman"/>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70C2F"/>
    <w:multiLevelType w:val="hybridMultilevel"/>
    <w:tmpl w:val="35127A1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69F06A54"/>
    <w:multiLevelType w:val="hybridMultilevel"/>
    <w:tmpl w:val="E606F45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7FD14599"/>
    <w:multiLevelType w:val="hybridMultilevel"/>
    <w:tmpl w:val="7006F34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92"/>
    <w:rsid w:val="003E2B2D"/>
    <w:rsid w:val="00526192"/>
    <w:rsid w:val="00956951"/>
    <w:rsid w:val="00D94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8AC6D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192"/>
    <w:rPr>
      <w:rFonts w:eastAsia="Times New Roman"/>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8133F"/>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192"/>
    <w:rPr>
      <w:rFonts w:eastAsia="Times New Roman"/>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8133F"/>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settings" Target="settings.xml"/><Relationship Id="rId5" Type="http://schemas.openxmlformats.org/officeDocument/2006/relationships/webSettings" Target="webSettings.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472</Words>
  <Characters>2696</Characters>
  <Application>Microsoft Macintosh Word</Application>
  <DocSecurity>0</DocSecurity>
  <Lines>22</Lines>
  <Paragraphs>6</Paragraphs>
  <ScaleCrop>false</ScaleCrop>
  <Company/>
  <LinksUpToDate>false</LinksUpToDate>
  <CharactersWithSpaces>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Caselli</dc:creator>
  <cp:keywords/>
  <dc:description/>
  <cp:lastModifiedBy>Daniela Caselli</cp:lastModifiedBy>
  <cp:revision>1</cp:revision>
  <dcterms:created xsi:type="dcterms:W3CDTF">2013-06-10T12:41:00Z</dcterms:created>
  <dcterms:modified xsi:type="dcterms:W3CDTF">2013-06-10T12:46:00Z</dcterms:modified>
</cp:coreProperties>
</file>