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4B" w:rsidRPr="00C91879" w:rsidRDefault="00D32669" w:rsidP="00C918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79">
        <w:rPr>
          <w:rFonts w:ascii="Times New Roman" w:hAnsi="Times New Roman" w:cs="Times New Roman"/>
          <w:b/>
          <w:sz w:val="28"/>
          <w:szCs w:val="28"/>
        </w:rPr>
        <w:t>ENGL33021: Lord Byron</w:t>
      </w:r>
    </w:p>
    <w:p w:rsidR="00D32669" w:rsidRPr="00C91879" w:rsidRDefault="00D32669" w:rsidP="00C918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79">
        <w:rPr>
          <w:rFonts w:ascii="Times New Roman" w:hAnsi="Times New Roman" w:cs="Times New Roman"/>
          <w:b/>
          <w:sz w:val="28"/>
          <w:szCs w:val="28"/>
        </w:rPr>
        <w:t>Syllabus and Preliminary Reading</w:t>
      </w:r>
    </w:p>
    <w:p w:rsidR="00D32669" w:rsidRPr="00C91879" w:rsidRDefault="00D32669" w:rsidP="00C918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79">
        <w:rPr>
          <w:rFonts w:ascii="Times New Roman" w:hAnsi="Times New Roman" w:cs="Times New Roman"/>
          <w:b/>
          <w:sz w:val="28"/>
          <w:szCs w:val="28"/>
        </w:rPr>
        <w:t>2012-13</w:t>
      </w:r>
    </w:p>
    <w:p w:rsidR="00D32669" w:rsidRPr="00C91879" w:rsidRDefault="00D32669" w:rsidP="00C9187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2669" w:rsidRPr="00C91879" w:rsidRDefault="00D32669" w:rsidP="00C91879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91879">
        <w:rPr>
          <w:b w:val="0"/>
          <w:sz w:val="24"/>
          <w:szCs w:val="24"/>
        </w:rPr>
        <w:t xml:space="preserve">The syllabus for this course will run as follows. Many of the texts can be comfortably read in a week. </w:t>
      </w:r>
      <w:r w:rsidRPr="00C91879">
        <w:rPr>
          <w:b w:val="0"/>
          <w:i/>
          <w:sz w:val="24"/>
          <w:szCs w:val="24"/>
        </w:rPr>
        <w:t xml:space="preserve">Childe Harold’s Pilgrimage </w:t>
      </w:r>
      <w:r w:rsidRPr="00C91879">
        <w:rPr>
          <w:b w:val="0"/>
          <w:sz w:val="24"/>
          <w:szCs w:val="24"/>
        </w:rPr>
        <w:t xml:space="preserve">and </w:t>
      </w:r>
      <w:r w:rsidRPr="00C91879">
        <w:rPr>
          <w:b w:val="0"/>
          <w:i/>
          <w:sz w:val="24"/>
          <w:szCs w:val="24"/>
        </w:rPr>
        <w:t>Don Juan</w:t>
      </w:r>
      <w:r w:rsidRPr="00C91879">
        <w:rPr>
          <w:b w:val="0"/>
          <w:sz w:val="24"/>
          <w:szCs w:val="24"/>
        </w:rPr>
        <w:t xml:space="preserve">, however, cannot and you should try to read these over the summer, especially </w:t>
      </w:r>
      <w:r w:rsidRPr="00C91879">
        <w:rPr>
          <w:b w:val="0"/>
          <w:i/>
          <w:sz w:val="24"/>
          <w:szCs w:val="24"/>
        </w:rPr>
        <w:t>Don Juan</w:t>
      </w:r>
      <w:r w:rsidRPr="00C91879">
        <w:rPr>
          <w:b w:val="0"/>
          <w:sz w:val="24"/>
          <w:szCs w:val="24"/>
        </w:rPr>
        <w:t>. The recommended editions of Byron’</w:t>
      </w:r>
      <w:r w:rsidR="00E208A0" w:rsidRPr="00C91879">
        <w:rPr>
          <w:b w:val="0"/>
          <w:sz w:val="24"/>
          <w:szCs w:val="24"/>
        </w:rPr>
        <w:t xml:space="preserve">s </w:t>
      </w:r>
      <w:r w:rsidRPr="00C91879">
        <w:rPr>
          <w:b w:val="0"/>
          <w:sz w:val="24"/>
          <w:szCs w:val="24"/>
        </w:rPr>
        <w:t>work</w:t>
      </w:r>
      <w:r w:rsidR="00635086">
        <w:rPr>
          <w:b w:val="0"/>
          <w:sz w:val="24"/>
          <w:szCs w:val="24"/>
        </w:rPr>
        <w:t>s</w:t>
      </w:r>
      <w:r w:rsidRPr="00C91879">
        <w:rPr>
          <w:b w:val="0"/>
          <w:sz w:val="24"/>
          <w:szCs w:val="24"/>
        </w:rPr>
        <w:t xml:space="preserve"> are Jerome McGann (ed.), </w:t>
      </w:r>
      <w:r w:rsidRPr="00C91879">
        <w:rPr>
          <w:b w:val="0"/>
          <w:i/>
          <w:sz w:val="24"/>
          <w:szCs w:val="24"/>
        </w:rPr>
        <w:t>Byron</w:t>
      </w:r>
      <w:r w:rsidR="00C91879">
        <w:rPr>
          <w:b w:val="0"/>
          <w:i/>
          <w:sz w:val="24"/>
          <w:szCs w:val="24"/>
        </w:rPr>
        <w:t>: T</w:t>
      </w:r>
      <w:r w:rsidRPr="00C91879">
        <w:rPr>
          <w:b w:val="0"/>
          <w:i/>
          <w:sz w:val="24"/>
          <w:szCs w:val="24"/>
        </w:rPr>
        <w:t>he Major Works</w:t>
      </w:r>
      <w:r w:rsidRPr="00C91879">
        <w:rPr>
          <w:b w:val="0"/>
          <w:sz w:val="24"/>
          <w:szCs w:val="24"/>
        </w:rPr>
        <w:t xml:space="preserve"> (Oxford University Press, 2008) and Susan J. Wolfson and Peter J. Manning</w:t>
      </w:r>
      <w:r w:rsidR="00C91879">
        <w:rPr>
          <w:b w:val="0"/>
          <w:sz w:val="24"/>
          <w:szCs w:val="24"/>
        </w:rPr>
        <w:t xml:space="preserve"> (eds)</w:t>
      </w:r>
      <w:r w:rsidRPr="00C91879">
        <w:rPr>
          <w:b w:val="0"/>
          <w:sz w:val="24"/>
          <w:szCs w:val="24"/>
        </w:rPr>
        <w:t xml:space="preserve">, </w:t>
      </w:r>
      <w:r w:rsidRPr="00C91879">
        <w:rPr>
          <w:b w:val="0"/>
          <w:i/>
          <w:sz w:val="24"/>
          <w:szCs w:val="24"/>
        </w:rPr>
        <w:t xml:space="preserve">Lord Byron: Selected Poems </w:t>
      </w:r>
      <w:r w:rsidRPr="00C91879">
        <w:rPr>
          <w:b w:val="0"/>
          <w:sz w:val="24"/>
          <w:szCs w:val="24"/>
        </w:rPr>
        <w:t xml:space="preserve">(Penguin, 1996). </w:t>
      </w:r>
      <w:r w:rsidR="00933328">
        <w:rPr>
          <w:b w:val="0"/>
          <w:sz w:val="24"/>
          <w:szCs w:val="24"/>
        </w:rPr>
        <w:t xml:space="preserve">You will need to get hold of both of these editions. </w:t>
      </w:r>
      <w:r w:rsidR="00E208A0" w:rsidRPr="00C91879">
        <w:rPr>
          <w:b w:val="0"/>
          <w:sz w:val="24"/>
          <w:szCs w:val="24"/>
        </w:rPr>
        <w:t xml:space="preserve">You should also get a copy of </w:t>
      </w:r>
      <w:r w:rsidR="000F43A6" w:rsidRPr="00C91879">
        <w:rPr>
          <w:b w:val="0"/>
          <w:sz w:val="24"/>
          <w:szCs w:val="24"/>
        </w:rPr>
        <w:t xml:space="preserve">Leslie Marchand, </w:t>
      </w:r>
      <w:r w:rsidR="000F43A6" w:rsidRPr="00C91879">
        <w:rPr>
          <w:b w:val="0"/>
          <w:i/>
          <w:sz w:val="24"/>
          <w:szCs w:val="24"/>
        </w:rPr>
        <w:t>Byron: A Portrait</w:t>
      </w:r>
      <w:r w:rsidR="000F43A6" w:rsidRPr="00C91879">
        <w:rPr>
          <w:b w:val="0"/>
          <w:sz w:val="24"/>
          <w:szCs w:val="24"/>
        </w:rPr>
        <w:t xml:space="preserve"> (Pimlico, 1993), and read the relevant chapters alongside the set texts each week (or, better still, read this over the summer).</w:t>
      </w:r>
      <w:r w:rsidR="00C91879" w:rsidRPr="00C91879">
        <w:rPr>
          <w:b w:val="0"/>
          <w:sz w:val="24"/>
          <w:szCs w:val="24"/>
        </w:rPr>
        <w:t xml:space="preserve"> Some recommended introductory reading follows the syllabus below. See you in the autumn! </w:t>
      </w:r>
    </w:p>
    <w:p w:rsidR="00C91879" w:rsidRPr="00C91879" w:rsidRDefault="00C91879" w:rsidP="00C9187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91879">
        <w:rPr>
          <w:rFonts w:ascii="Times New Roman" w:hAnsi="Times New Roman" w:cs="Times New Roman"/>
          <w:b/>
          <w:sz w:val="24"/>
          <w:szCs w:val="24"/>
        </w:rPr>
        <w:t>Syllabus</w:t>
      </w:r>
    </w:p>
    <w:p w:rsidR="00C91879" w:rsidRDefault="00C91879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1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Childe Harold’s Pilgrimage</w:t>
      </w:r>
      <w:r w:rsidRPr="00C91879">
        <w:rPr>
          <w:rFonts w:ascii="Times New Roman" w:hAnsi="Times New Roman" w:cs="Times New Roman"/>
          <w:sz w:val="24"/>
          <w:szCs w:val="24"/>
        </w:rPr>
        <w:t>, Cantos I and II</w:t>
      </w: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2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The Corsair</w:t>
      </w:r>
      <w:r w:rsidRPr="00C91879">
        <w:rPr>
          <w:rFonts w:ascii="Times New Roman" w:hAnsi="Times New Roman" w:cs="Times New Roman"/>
          <w:sz w:val="24"/>
          <w:szCs w:val="24"/>
        </w:rPr>
        <w:t xml:space="preserve"> and </w:t>
      </w:r>
      <w:r w:rsidRPr="00C91879">
        <w:rPr>
          <w:rFonts w:ascii="Times New Roman" w:hAnsi="Times New Roman" w:cs="Times New Roman"/>
          <w:i/>
          <w:sz w:val="24"/>
          <w:szCs w:val="24"/>
        </w:rPr>
        <w:t>Lara</w:t>
      </w: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3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Manfred</w:t>
      </w: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4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Childe Harold’s Pilgrimage</w:t>
      </w:r>
      <w:r w:rsidRPr="00C91879">
        <w:rPr>
          <w:rFonts w:ascii="Times New Roman" w:hAnsi="Times New Roman" w:cs="Times New Roman"/>
          <w:sz w:val="24"/>
          <w:szCs w:val="24"/>
        </w:rPr>
        <w:t>, Cantos III and IV</w:t>
      </w: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5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Beppo</w:t>
      </w:r>
    </w:p>
    <w:p w:rsidR="00D32669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>[</w:t>
      </w:r>
      <w:r w:rsidR="00D32669" w:rsidRPr="00C91879">
        <w:rPr>
          <w:rFonts w:ascii="Times New Roman" w:hAnsi="Times New Roman" w:cs="Times New Roman"/>
          <w:sz w:val="24"/>
          <w:szCs w:val="24"/>
        </w:rPr>
        <w:t>Week 6 -</w:t>
      </w:r>
      <w:r w:rsidRPr="00C91879">
        <w:rPr>
          <w:rFonts w:ascii="Times New Roman" w:hAnsi="Times New Roman" w:cs="Times New Roman"/>
          <w:sz w:val="24"/>
          <w:szCs w:val="24"/>
        </w:rPr>
        <w:t xml:space="preserve"> Reading Week</w:t>
      </w:r>
      <w:r w:rsidR="00C91879">
        <w:rPr>
          <w:rFonts w:ascii="Times New Roman" w:hAnsi="Times New Roman" w:cs="Times New Roman"/>
          <w:sz w:val="24"/>
          <w:szCs w:val="24"/>
        </w:rPr>
        <w:t>]</w:t>
      </w:r>
      <w:r w:rsidR="00D32669" w:rsidRPr="00C91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669" w:rsidRPr="00C91879" w:rsidRDefault="00D32669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7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="00E208A0" w:rsidRPr="00C91879">
        <w:rPr>
          <w:rFonts w:ascii="Times New Roman" w:hAnsi="Times New Roman" w:cs="Times New Roman"/>
          <w:sz w:val="24"/>
          <w:szCs w:val="24"/>
        </w:rPr>
        <w:t xml:space="preserve"> </w:t>
      </w:r>
      <w:r w:rsidR="00E208A0" w:rsidRPr="00C91879">
        <w:rPr>
          <w:rFonts w:ascii="Times New Roman" w:hAnsi="Times New Roman" w:cs="Times New Roman"/>
          <w:i/>
          <w:sz w:val="24"/>
          <w:szCs w:val="24"/>
        </w:rPr>
        <w:t>Don Juan</w:t>
      </w:r>
      <w:r w:rsidR="00E208A0" w:rsidRPr="00C91879">
        <w:rPr>
          <w:rFonts w:ascii="Times New Roman" w:hAnsi="Times New Roman" w:cs="Times New Roman"/>
          <w:sz w:val="24"/>
          <w:szCs w:val="24"/>
        </w:rPr>
        <w:t>, Cantos I-VI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8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="00635086">
        <w:rPr>
          <w:rFonts w:ascii="Times New Roman" w:hAnsi="Times New Roman" w:cs="Times New Roman"/>
          <w:i/>
          <w:sz w:val="24"/>
          <w:szCs w:val="24"/>
        </w:rPr>
        <w:t>Sardanapalus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9 </w:t>
      </w:r>
      <w:r w:rsidR="00C91879">
        <w:rPr>
          <w:rFonts w:ascii="Times New Roman" w:hAnsi="Times New Roman" w:cs="Times New Roman"/>
          <w:sz w:val="24"/>
          <w:szCs w:val="24"/>
        </w:rPr>
        <w:t xml:space="preserve"> </w:t>
      </w:r>
      <w:r w:rsidRPr="00C91879">
        <w:rPr>
          <w:rFonts w:ascii="Times New Roman" w:hAnsi="Times New Roman" w:cs="Times New Roman"/>
          <w:sz w:val="24"/>
          <w:szCs w:val="24"/>
        </w:rPr>
        <w:t xml:space="preserve">- </w:t>
      </w:r>
      <w:r w:rsidRPr="00C91879">
        <w:rPr>
          <w:rFonts w:ascii="Times New Roman" w:hAnsi="Times New Roman" w:cs="Times New Roman"/>
          <w:i/>
          <w:sz w:val="24"/>
          <w:szCs w:val="24"/>
        </w:rPr>
        <w:t>Don Juan</w:t>
      </w:r>
      <w:r w:rsidRPr="00C91879">
        <w:rPr>
          <w:rFonts w:ascii="Times New Roman" w:hAnsi="Times New Roman" w:cs="Times New Roman"/>
          <w:sz w:val="24"/>
          <w:szCs w:val="24"/>
        </w:rPr>
        <w:t>, Cantos VII-XII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10 - </w:t>
      </w:r>
      <w:r w:rsidRPr="00C91879">
        <w:rPr>
          <w:rFonts w:ascii="Times New Roman" w:hAnsi="Times New Roman" w:cs="Times New Roman"/>
          <w:i/>
          <w:sz w:val="24"/>
          <w:szCs w:val="24"/>
        </w:rPr>
        <w:t>Cain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11 - </w:t>
      </w:r>
      <w:r w:rsidRPr="00C91879">
        <w:rPr>
          <w:rFonts w:ascii="Times New Roman" w:hAnsi="Times New Roman" w:cs="Times New Roman"/>
          <w:i/>
          <w:sz w:val="24"/>
          <w:szCs w:val="24"/>
        </w:rPr>
        <w:t>Don Juan</w:t>
      </w:r>
      <w:r w:rsidRPr="00C91879">
        <w:rPr>
          <w:rFonts w:ascii="Times New Roman" w:hAnsi="Times New Roman" w:cs="Times New Roman"/>
          <w:sz w:val="24"/>
          <w:szCs w:val="24"/>
        </w:rPr>
        <w:t>, Cantos XIII-XVII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1879">
        <w:rPr>
          <w:rFonts w:ascii="Times New Roman" w:hAnsi="Times New Roman" w:cs="Times New Roman"/>
          <w:sz w:val="24"/>
          <w:szCs w:val="24"/>
        </w:rPr>
        <w:t xml:space="preserve">Week 12 - </w:t>
      </w:r>
      <w:r w:rsidR="00635086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C91879">
        <w:rPr>
          <w:rFonts w:ascii="Times New Roman" w:hAnsi="Times New Roman" w:cs="Times New Roman"/>
          <w:i/>
          <w:sz w:val="24"/>
          <w:szCs w:val="24"/>
        </w:rPr>
        <w:t>Vision of Judgement</w:t>
      </w:r>
    </w:p>
    <w:p w:rsidR="00E208A0" w:rsidRPr="00C91879" w:rsidRDefault="00E208A0" w:rsidP="00C9187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F43A6" w:rsidRPr="00C91879" w:rsidRDefault="00C91879" w:rsidP="00C9187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91879">
        <w:rPr>
          <w:rFonts w:ascii="Times New Roman" w:hAnsi="Times New Roman" w:cs="Times New Roman"/>
          <w:b/>
          <w:sz w:val="24"/>
          <w:szCs w:val="24"/>
        </w:rPr>
        <w:t xml:space="preserve">Recommended </w:t>
      </w:r>
      <w:r w:rsidR="00E208A0" w:rsidRPr="00C91879">
        <w:rPr>
          <w:rFonts w:ascii="Times New Roman" w:hAnsi="Times New Roman" w:cs="Times New Roman"/>
          <w:b/>
          <w:sz w:val="24"/>
          <w:szCs w:val="24"/>
        </w:rPr>
        <w:t>Preliminary Secondary Reading</w:t>
      </w:r>
    </w:p>
    <w:p w:rsidR="000F43A6" w:rsidRPr="00C91879" w:rsidRDefault="000F43A6" w:rsidP="00C9187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43A6" w:rsidRPr="00635086" w:rsidRDefault="000F43A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Bernard Beatty, </w:t>
      </w:r>
      <w:r w:rsidRPr="00635086">
        <w:rPr>
          <w:b w:val="0"/>
          <w:i/>
          <w:sz w:val="24"/>
          <w:szCs w:val="24"/>
        </w:rPr>
        <w:t xml:space="preserve">Byron's </w:t>
      </w:r>
      <w:r w:rsidRPr="00635086">
        <w:rPr>
          <w:b w:val="0"/>
          <w:sz w:val="24"/>
          <w:szCs w:val="24"/>
        </w:rPr>
        <w:t>Don Juan</w:t>
      </w:r>
      <w:r w:rsidRPr="00635086">
        <w:rPr>
          <w:b w:val="0"/>
          <w:i/>
          <w:sz w:val="24"/>
          <w:szCs w:val="24"/>
        </w:rPr>
        <w:t xml:space="preserve"> and Other Poems</w:t>
      </w:r>
      <w:r w:rsidRPr="00635086">
        <w:rPr>
          <w:b w:val="0"/>
          <w:sz w:val="24"/>
          <w:szCs w:val="24"/>
        </w:rPr>
        <w:t xml:space="preserve"> (Penguin, 1987)</w:t>
      </w:r>
    </w:p>
    <w:p w:rsidR="00635086" w:rsidRPr="00635086" w:rsidRDefault="0063508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Bernard Beatty and Robert Gleckner (eds), </w:t>
      </w:r>
      <w:r w:rsidRPr="00635086">
        <w:rPr>
          <w:b w:val="0"/>
          <w:i/>
          <w:sz w:val="24"/>
          <w:szCs w:val="24"/>
        </w:rPr>
        <w:t>The Plays of Lord Byron: Critical Essays</w:t>
      </w:r>
      <w:r w:rsidRPr="00635086">
        <w:rPr>
          <w:b w:val="0"/>
          <w:sz w:val="24"/>
          <w:szCs w:val="24"/>
        </w:rPr>
        <w:t xml:space="preserve"> (Liverpool: Liverpool University Press, 1997)</w:t>
      </w:r>
    </w:p>
    <w:p w:rsidR="000F43A6" w:rsidRPr="00635086" w:rsidRDefault="000F43A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Drummond Bone, </w:t>
      </w:r>
      <w:r w:rsidRPr="00635086">
        <w:rPr>
          <w:b w:val="0"/>
          <w:i/>
          <w:sz w:val="24"/>
          <w:szCs w:val="24"/>
        </w:rPr>
        <w:t>Byron</w:t>
      </w:r>
      <w:r w:rsidRPr="00635086">
        <w:rPr>
          <w:b w:val="0"/>
          <w:sz w:val="24"/>
          <w:szCs w:val="24"/>
        </w:rPr>
        <w:t xml:space="preserve"> </w:t>
      </w:r>
      <w:r w:rsidR="00933328">
        <w:rPr>
          <w:b w:val="0"/>
          <w:sz w:val="24"/>
          <w:szCs w:val="24"/>
        </w:rPr>
        <w:t>(</w:t>
      </w:r>
      <w:r w:rsidRPr="00635086">
        <w:rPr>
          <w:b w:val="0"/>
          <w:sz w:val="24"/>
          <w:szCs w:val="24"/>
        </w:rPr>
        <w:t>Northcote House, 2000)</w:t>
      </w:r>
    </w:p>
    <w:p w:rsidR="000F43A6" w:rsidRPr="00635086" w:rsidRDefault="000F43A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Drummond Bone (ed.), </w:t>
      </w:r>
      <w:r w:rsidRPr="00635086">
        <w:rPr>
          <w:b w:val="0"/>
          <w:i/>
          <w:sz w:val="24"/>
          <w:szCs w:val="24"/>
        </w:rPr>
        <w:t>The Cambridge Companion to Byron (</w:t>
      </w:r>
      <w:r w:rsidRPr="00635086">
        <w:rPr>
          <w:b w:val="0"/>
          <w:sz w:val="24"/>
          <w:szCs w:val="24"/>
        </w:rPr>
        <w:t>Cambridge University Press, 2004)</w:t>
      </w:r>
    </w:p>
    <w:p w:rsidR="000F43A6" w:rsidRPr="00635086" w:rsidRDefault="000F43A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Caroline Franklin, </w:t>
      </w:r>
      <w:r w:rsidRPr="00635086">
        <w:rPr>
          <w:b w:val="0"/>
          <w:i/>
          <w:sz w:val="24"/>
          <w:szCs w:val="24"/>
        </w:rPr>
        <w:t>Byron</w:t>
      </w:r>
      <w:r w:rsidRPr="00635086">
        <w:rPr>
          <w:b w:val="0"/>
          <w:sz w:val="24"/>
          <w:szCs w:val="24"/>
        </w:rPr>
        <w:t xml:space="preserve"> (Routledge, 2006)</w:t>
      </w:r>
    </w:p>
    <w:p w:rsidR="00C91879" w:rsidRPr="00635086" w:rsidRDefault="00C91879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Andrew Keanie, </w:t>
      </w:r>
      <w:r w:rsidRPr="00635086">
        <w:rPr>
          <w:b w:val="0"/>
          <w:i/>
          <w:sz w:val="24"/>
          <w:szCs w:val="24"/>
        </w:rPr>
        <w:t>Student Guide to Byron</w:t>
      </w:r>
      <w:r w:rsidRPr="00635086">
        <w:rPr>
          <w:b w:val="0"/>
          <w:sz w:val="24"/>
          <w:szCs w:val="24"/>
        </w:rPr>
        <w:t xml:space="preserve"> (Greenwich Exchange, 2006)</w:t>
      </w:r>
    </w:p>
    <w:p w:rsidR="00B92111" w:rsidRPr="00B92111" w:rsidRDefault="00B92111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Alan Rawes, </w:t>
      </w:r>
      <w:r>
        <w:rPr>
          <w:b w:val="0"/>
          <w:i/>
          <w:sz w:val="24"/>
          <w:szCs w:val="24"/>
        </w:rPr>
        <w:t>Byron’s Poetic Experimentation</w:t>
      </w:r>
      <w:r>
        <w:rPr>
          <w:b w:val="0"/>
          <w:sz w:val="24"/>
          <w:szCs w:val="24"/>
        </w:rPr>
        <w:t xml:space="preserve"> (Ashgate, 2000)</w:t>
      </w:r>
    </w:p>
    <w:p w:rsidR="000F43A6" w:rsidRPr="00635086" w:rsidRDefault="000F43A6" w:rsidP="00C91879">
      <w:pPr>
        <w:pStyle w:val="Heading1"/>
        <w:spacing w:before="0" w:beforeAutospacing="0" w:after="0" w:afterAutospacing="0"/>
        <w:ind w:left="567" w:hanging="567"/>
        <w:rPr>
          <w:b w:val="0"/>
          <w:sz w:val="24"/>
          <w:szCs w:val="24"/>
        </w:rPr>
      </w:pPr>
      <w:r w:rsidRPr="00635086">
        <w:rPr>
          <w:b w:val="0"/>
          <w:sz w:val="24"/>
          <w:szCs w:val="24"/>
        </w:rPr>
        <w:t xml:space="preserve">Jane Stabler (ed.), </w:t>
      </w:r>
      <w:r w:rsidRPr="00635086">
        <w:rPr>
          <w:b w:val="0"/>
          <w:i/>
          <w:sz w:val="24"/>
          <w:szCs w:val="24"/>
        </w:rPr>
        <w:t>Palgrave Advances in Byron Studies</w:t>
      </w:r>
      <w:r w:rsidRPr="00635086">
        <w:rPr>
          <w:b w:val="0"/>
          <w:sz w:val="24"/>
          <w:szCs w:val="24"/>
        </w:rPr>
        <w:t xml:space="preserve"> (Palgrave Macmillan, 2007)</w:t>
      </w:r>
    </w:p>
    <w:p w:rsidR="000F43A6" w:rsidRPr="00C91879" w:rsidRDefault="000F43A6" w:rsidP="00D3266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0F43A6" w:rsidRPr="00C91879" w:rsidSect="00B55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669"/>
    <w:rsid w:val="000F43A6"/>
    <w:rsid w:val="001475EC"/>
    <w:rsid w:val="00147BE0"/>
    <w:rsid w:val="002476A7"/>
    <w:rsid w:val="00332D53"/>
    <w:rsid w:val="00362C2C"/>
    <w:rsid w:val="00487EFE"/>
    <w:rsid w:val="005D3282"/>
    <w:rsid w:val="00635086"/>
    <w:rsid w:val="00844DE4"/>
    <w:rsid w:val="008C7517"/>
    <w:rsid w:val="00933328"/>
    <w:rsid w:val="00A14502"/>
    <w:rsid w:val="00AC2789"/>
    <w:rsid w:val="00B5584B"/>
    <w:rsid w:val="00B839A3"/>
    <w:rsid w:val="00B92111"/>
    <w:rsid w:val="00C91879"/>
    <w:rsid w:val="00D32669"/>
    <w:rsid w:val="00D943EF"/>
    <w:rsid w:val="00E2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4B"/>
  </w:style>
  <w:style w:type="paragraph" w:styleId="Heading1">
    <w:name w:val="heading 1"/>
    <w:basedOn w:val="Normal"/>
    <w:link w:val="Heading1Char"/>
    <w:uiPriority w:val="9"/>
    <w:qFormat/>
    <w:rsid w:val="000F43A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A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F43A6"/>
    <w:rPr>
      <w:color w:val="0000FF"/>
      <w:u w:val="single"/>
    </w:rPr>
  </w:style>
  <w:style w:type="character" w:customStyle="1" w:styleId="bylinepipe">
    <w:name w:val="bylinepipe"/>
    <w:basedOn w:val="DefaultParagraphFont"/>
    <w:rsid w:val="000F43A6"/>
  </w:style>
  <w:style w:type="character" w:customStyle="1" w:styleId="contributornametrigger">
    <w:name w:val="contributornametrigger"/>
    <w:basedOn w:val="DefaultParagraphFont"/>
    <w:rsid w:val="00C91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Rawes</dc:creator>
  <cp:lastModifiedBy>Alan</cp:lastModifiedBy>
  <cp:revision>2</cp:revision>
  <dcterms:created xsi:type="dcterms:W3CDTF">2013-06-13T13:17:00Z</dcterms:created>
  <dcterms:modified xsi:type="dcterms:W3CDTF">2013-06-13T13:17:00Z</dcterms:modified>
</cp:coreProperties>
</file>