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E1B" w:rsidRPr="009A2C2F" w:rsidRDefault="00DD3E1B" w:rsidP="00DD3E1B">
      <w:pPr>
        <w:widowControl w:val="0"/>
        <w:autoSpaceDE w:val="0"/>
        <w:autoSpaceDN w:val="0"/>
        <w:adjustRightInd w:val="0"/>
        <w:jc w:val="center"/>
        <w:rPr>
          <w:rFonts w:ascii="Arial Narrow" w:hAnsi="Arial Narrow" w:cs="Calibri"/>
          <w:b/>
          <w:lang w:eastAsia="it-IT" w:bidi="it-IT"/>
        </w:rPr>
      </w:pPr>
      <w:r w:rsidRPr="009A2C2F">
        <w:rPr>
          <w:rFonts w:ascii="Arial Narrow" w:hAnsi="Arial Narrow" w:cs="Calibri"/>
          <w:b/>
          <w:lang w:eastAsia="it-IT" w:bidi="it-IT"/>
        </w:rPr>
        <w:t>Theory and Text</w:t>
      </w:r>
    </w:p>
    <w:p w:rsidR="00DD3E1B" w:rsidRPr="009A2C2F" w:rsidRDefault="00DD3E1B" w:rsidP="00DD3E1B">
      <w:pPr>
        <w:widowControl w:val="0"/>
        <w:autoSpaceDE w:val="0"/>
        <w:autoSpaceDN w:val="0"/>
        <w:adjustRightInd w:val="0"/>
        <w:jc w:val="center"/>
        <w:rPr>
          <w:rFonts w:ascii="Arial Narrow" w:hAnsi="Arial Narrow" w:cs="Calibri"/>
          <w:b/>
          <w:lang w:eastAsia="it-IT" w:bidi="it-IT"/>
        </w:rPr>
      </w:pPr>
      <w:r w:rsidRPr="009A2C2F">
        <w:rPr>
          <w:rFonts w:ascii="Arial Narrow" w:hAnsi="Arial Narrow" w:cs="Calibri"/>
          <w:b/>
          <w:lang w:eastAsia="it-IT" w:bidi="it-IT"/>
        </w:rPr>
        <w:t>ENGL10062</w:t>
      </w:r>
    </w:p>
    <w:p w:rsidR="00DD3E1B" w:rsidRPr="009A2C2F" w:rsidRDefault="00DD3E1B" w:rsidP="00DD3E1B">
      <w:pPr>
        <w:widowControl w:val="0"/>
        <w:autoSpaceDE w:val="0"/>
        <w:autoSpaceDN w:val="0"/>
        <w:adjustRightInd w:val="0"/>
        <w:rPr>
          <w:rFonts w:ascii="Arial Narrow" w:hAnsi="Arial Narrow" w:cs="Calibri"/>
          <w:b/>
          <w:lang w:eastAsia="it-IT" w:bidi="it-IT"/>
        </w:rPr>
      </w:pPr>
    </w:p>
    <w:p w:rsidR="00DD3E1B" w:rsidRPr="009A2C2F" w:rsidRDefault="00DD3E1B" w:rsidP="00DD3E1B">
      <w:pPr>
        <w:widowControl w:val="0"/>
        <w:autoSpaceDE w:val="0"/>
        <w:autoSpaceDN w:val="0"/>
        <w:adjustRightInd w:val="0"/>
        <w:rPr>
          <w:rFonts w:ascii="Arial Narrow" w:hAnsi="Arial Narrow" w:cs="Calibri"/>
          <w:lang w:eastAsia="it-IT" w:bidi="it-IT"/>
        </w:rPr>
      </w:pPr>
    </w:p>
    <w:p w:rsidR="00DD3E1B" w:rsidRPr="009A2C2F" w:rsidRDefault="00DD3E1B" w:rsidP="00DD3E1B">
      <w:pPr>
        <w:widowControl w:val="0"/>
        <w:autoSpaceDE w:val="0"/>
        <w:autoSpaceDN w:val="0"/>
        <w:adjustRightInd w:val="0"/>
        <w:rPr>
          <w:rFonts w:ascii="Arial Narrow" w:hAnsi="Arial Narrow" w:cs="Calibri"/>
          <w:lang w:eastAsia="it-IT" w:bidi="it-IT"/>
        </w:rPr>
      </w:pPr>
    </w:p>
    <w:p w:rsidR="00DD3E1B" w:rsidRPr="009A2C2F" w:rsidRDefault="00DD3E1B" w:rsidP="00DD3E1B">
      <w:pPr>
        <w:widowControl w:val="0"/>
        <w:autoSpaceDE w:val="0"/>
        <w:autoSpaceDN w:val="0"/>
        <w:adjustRightInd w:val="0"/>
        <w:rPr>
          <w:rFonts w:ascii="Arial Narrow" w:hAnsi="Arial Narrow" w:cs="Calibri"/>
          <w:lang w:eastAsia="it-IT" w:bidi="it-IT"/>
        </w:rPr>
      </w:pPr>
      <w:r w:rsidRPr="009A2C2F">
        <w:rPr>
          <w:rFonts w:ascii="Arial Narrow" w:hAnsi="Arial Narrow" w:cs="Calibri"/>
          <w:b/>
          <w:lang w:eastAsia="it-IT" w:bidi="it-IT"/>
        </w:rPr>
        <w:t>Course Unit Director</w:t>
      </w:r>
      <w:r w:rsidRPr="009A2C2F">
        <w:rPr>
          <w:rFonts w:ascii="Arial Narrow" w:hAnsi="Arial Narrow" w:cs="Calibri"/>
          <w:lang w:eastAsia="it-IT" w:bidi="it-IT"/>
        </w:rPr>
        <w:t xml:space="preserve">: Dr Daniela Caselli, Room W105, </w:t>
      </w:r>
      <w:hyperlink r:id="rId6" w:history="1">
        <w:r w:rsidRPr="009A2C2F">
          <w:rPr>
            <w:rStyle w:val="Hyperlink"/>
            <w:rFonts w:ascii="Arial Narrow" w:hAnsi="Arial Narrow" w:cs="Calibri"/>
            <w:lang w:eastAsia="it-IT" w:bidi="it-IT"/>
          </w:rPr>
          <w:t>daniela.caselli@manchester.ac.uk</w:t>
        </w:r>
      </w:hyperlink>
    </w:p>
    <w:p w:rsidR="00DD3E1B" w:rsidRPr="009A2C2F" w:rsidRDefault="00DD3E1B" w:rsidP="00DD3E1B">
      <w:pPr>
        <w:widowControl w:val="0"/>
        <w:autoSpaceDE w:val="0"/>
        <w:autoSpaceDN w:val="0"/>
        <w:adjustRightInd w:val="0"/>
        <w:rPr>
          <w:rFonts w:ascii="Arial Narrow" w:hAnsi="Arial Narrow" w:cs="Calibri"/>
          <w:lang w:eastAsia="it-IT" w:bidi="it-IT"/>
        </w:rPr>
      </w:pPr>
    </w:p>
    <w:p w:rsidR="00DD3E1B" w:rsidRPr="009A2C2F" w:rsidRDefault="00DD3E1B" w:rsidP="00DD3E1B">
      <w:pPr>
        <w:rPr>
          <w:rFonts w:ascii="Arial Narrow" w:hAnsi="Arial Narrow"/>
          <w:b/>
          <w:bCs/>
        </w:rPr>
      </w:pPr>
      <w:r w:rsidRPr="009A2C2F">
        <w:rPr>
          <w:rFonts w:ascii="Arial Narrow" w:hAnsi="Arial Narrow"/>
          <w:b/>
          <w:bCs/>
        </w:rPr>
        <w:t>BRIEF DESCRIPTION OF THE UNIT</w:t>
      </w:r>
    </w:p>
    <w:p w:rsidR="00DD3E1B" w:rsidRPr="009A2C2F" w:rsidRDefault="00DD3E1B" w:rsidP="00DD3E1B">
      <w:pPr>
        <w:rPr>
          <w:rFonts w:ascii="Arial Narrow" w:hAnsi="Arial Narrow"/>
        </w:rPr>
      </w:pPr>
    </w:p>
    <w:p w:rsidR="00DD3E1B" w:rsidRPr="009A2C2F" w:rsidRDefault="00DD3E1B" w:rsidP="00DD3E1B">
      <w:pPr>
        <w:rPr>
          <w:rFonts w:ascii="Arial Narrow" w:hAnsi="Arial Narrow"/>
        </w:rPr>
      </w:pPr>
      <w:r w:rsidRPr="009A2C2F">
        <w:rPr>
          <w:rFonts w:ascii="Arial Narrow" w:hAnsi="Arial Narrow"/>
        </w:rPr>
        <w:t xml:space="preserve">This course wants to introduce first year </w:t>
      </w:r>
      <w:r>
        <w:rPr>
          <w:rFonts w:ascii="Arial Narrow" w:hAnsi="Arial Narrow"/>
        </w:rPr>
        <w:t xml:space="preserve">students </w:t>
      </w:r>
      <w:r w:rsidRPr="009A2C2F">
        <w:rPr>
          <w:rFonts w:ascii="Arial Narrow" w:hAnsi="Arial Narrow"/>
        </w:rPr>
        <w:t>to literary and critical theory. This will be done by looking at key issues to do with interpretation, textuality and authority rather than by tracing a history of schools of thought. The course will be divided into three sections (Author, Text, Reader); each section will have two primary texts (</w:t>
      </w:r>
      <w:r>
        <w:rPr>
          <w:rFonts w:ascii="Arial Narrow" w:hAnsi="Arial Narrow"/>
        </w:rPr>
        <w:t xml:space="preserve">both </w:t>
      </w:r>
      <w:r w:rsidRPr="009A2C2F">
        <w:rPr>
          <w:rFonts w:ascii="Arial Narrow" w:hAnsi="Arial Narrow"/>
        </w:rPr>
        <w:t>literary and non literary); each lecture will use one influential theoretical intervention to focus the debate of the issues under consideration; each section will have to (mainly literary but not exclusively so) texts to help students make connections between theory and texts. At the end of each section there will be one dedicated hour for debate among colleagues around the issues discussed in that section.</w:t>
      </w:r>
    </w:p>
    <w:p w:rsidR="00DD3E1B" w:rsidRDefault="00DD3E1B" w:rsidP="00DD3E1B">
      <w:pPr>
        <w:widowControl w:val="0"/>
        <w:autoSpaceDE w:val="0"/>
        <w:autoSpaceDN w:val="0"/>
        <w:adjustRightInd w:val="0"/>
        <w:rPr>
          <w:rFonts w:ascii="Arial Narrow" w:hAnsi="Arial Narrow" w:cs="Tahoma"/>
          <w:lang w:eastAsia="it-IT" w:bidi="it-IT"/>
        </w:rPr>
      </w:pPr>
    </w:p>
    <w:p w:rsidR="00DD3E1B" w:rsidRPr="00DD3E1B" w:rsidRDefault="00DD3E1B" w:rsidP="00DD3E1B">
      <w:pPr>
        <w:widowControl w:val="0"/>
        <w:autoSpaceDE w:val="0"/>
        <w:autoSpaceDN w:val="0"/>
        <w:adjustRightInd w:val="0"/>
        <w:rPr>
          <w:rFonts w:ascii="Arial Narrow" w:hAnsi="Arial Narrow" w:cs="Tahoma"/>
          <w:b/>
          <w:lang w:eastAsia="it-IT" w:bidi="it-IT"/>
        </w:rPr>
      </w:pPr>
      <w:r w:rsidRPr="00DD3E1B">
        <w:rPr>
          <w:rFonts w:ascii="Arial Narrow" w:hAnsi="Arial Narrow" w:cs="Tahoma"/>
          <w:b/>
          <w:lang w:eastAsia="it-IT" w:bidi="it-IT"/>
        </w:rPr>
        <w:t>READING LIST</w:t>
      </w:r>
    </w:p>
    <w:p w:rsidR="00DD3E1B" w:rsidRDefault="00DD3E1B" w:rsidP="00DD3E1B">
      <w:pPr>
        <w:widowControl w:val="0"/>
        <w:autoSpaceDE w:val="0"/>
        <w:autoSpaceDN w:val="0"/>
        <w:adjustRightInd w:val="0"/>
        <w:rPr>
          <w:rFonts w:ascii="Arial Narrow" w:hAnsi="Arial Narrow" w:cs="Tahoma"/>
          <w:lang w:eastAsia="it-IT" w:bidi="it-IT"/>
        </w:rPr>
      </w:pPr>
    </w:p>
    <w:p w:rsidR="00DD3E1B" w:rsidRPr="00DD3E1B" w:rsidRDefault="00DD3E1B" w:rsidP="00DD3E1B">
      <w:pPr>
        <w:spacing w:after="120"/>
        <w:rPr>
          <w:rFonts w:ascii="Arial Narrow" w:hAnsi="Arial Narrow" w:cs="Tahoma"/>
          <w:b/>
        </w:rPr>
      </w:pPr>
      <w:r w:rsidRPr="00DD3E1B">
        <w:rPr>
          <w:rFonts w:ascii="Arial Narrow" w:hAnsi="Arial Narrow" w:cs="Tahoma"/>
          <w:b/>
        </w:rPr>
        <w:t>Reference text:</w:t>
      </w:r>
    </w:p>
    <w:p w:rsidR="00DD3E1B" w:rsidRPr="00DD3E1B" w:rsidRDefault="00DD3E1B" w:rsidP="00DD3E1B">
      <w:pPr>
        <w:spacing w:after="120"/>
        <w:rPr>
          <w:rFonts w:ascii="Arial Narrow" w:hAnsi="Arial Narrow" w:cs="Tahoma"/>
        </w:rPr>
      </w:pPr>
      <w:r w:rsidRPr="00DD3E1B">
        <w:rPr>
          <w:rFonts w:ascii="Arial Narrow" w:hAnsi="Arial Narrow" w:cs="Tahoma"/>
        </w:rPr>
        <w:t xml:space="preserve">Andrew Bennett and Nicholas Royle, </w:t>
      </w:r>
      <w:r w:rsidRPr="00DD3E1B">
        <w:rPr>
          <w:rFonts w:ascii="Arial Narrow" w:hAnsi="Arial Narrow" w:cs="Tahoma"/>
          <w:i/>
        </w:rPr>
        <w:t>An Introduction to Literature, Criticism and Theory</w:t>
      </w:r>
      <w:r w:rsidRPr="00DD3E1B">
        <w:rPr>
          <w:rFonts w:ascii="Arial Narrow" w:hAnsi="Arial Narrow" w:cs="Tahoma"/>
        </w:rPr>
        <w:t>, (London: Longman, 2009, fourth edition).</w:t>
      </w:r>
    </w:p>
    <w:p w:rsidR="00DD3E1B" w:rsidRDefault="00DD3E1B" w:rsidP="00DD3E1B">
      <w:pPr>
        <w:widowControl w:val="0"/>
        <w:autoSpaceDE w:val="0"/>
        <w:autoSpaceDN w:val="0"/>
        <w:adjustRightInd w:val="0"/>
        <w:rPr>
          <w:rFonts w:ascii="Arial Narrow" w:hAnsi="Arial Narrow" w:cs="Tahoma"/>
          <w:lang w:eastAsia="it-IT" w:bidi="it-IT"/>
        </w:rPr>
      </w:pPr>
    </w:p>
    <w:p w:rsidR="00DD3E1B" w:rsidRDefault="00DD3E1B" w:rsidP="00DD3E1B">
      <w:pPr>
        <w:widowControl w:val="0"/>
        <w:autoSpaceDE w:val="0"/>
        <w:autoSpaceDN w:val="0"/>
        <w:adjustRightInd w:val="0"/>
        <w:rPr>
          <w:rFonts w:ascii="Arial Narrow" w:hAnsi="Arial Narrow" w:cs="Tahoma"/>
          <w:lang w:eastAsia="it-IT" w:bidi="it-IT"/>
        </w:rPr>
      </w:pPr>
      <w:r w:rsidRPr="00DD3E1B">
        <w:rPr>
          <w:rFonts w:ascii="Arial Narrow" w:hAnsi="Arial Narrow" w:cs="Tahoma"/>
          <w:b/>
          <w:lang w:eastAsia="it-IT" w:bidi="it-IT"/>
        </w:rPr>
        <w:t>Literary Texts</w:t>
      </w:r>
      <w:r>
        <w:rPr>
          <w:rFonts w:ascii="Arial Narrow" w:hAnsi="Arial Narrow" w:cs="Tahoma"/>
          <w:lang w:eastAsia="it-IT" w:bidi="it-IT"/>
        </w:rPr>
        <w:t>:</w:t>
      </w:r>
    </w:p>
    <w:p w:rsidR="00DD3E1B" w:rsidRDefault="00DD3E1B" w:rsidP="00DD3E1B">
      <w:pPr>
        <w:widowControl w:val="0"/>
        <w:autoSpaceDE w:val="0"/>
        <w:autoSpaceDN w:val="0"/>
        <w:adjustRightInd w:val="0"/>
        <w:rPr>
          <w:rFonts w:ascii="Arial Narrow" w:hAnsi="Arial Narrow" w:cs="Tahoma"/>
          <w:lang w:eastAsia="it-IT" w:bidi="it-IT"/>
        </w:rPr>
      </w:pPr>
      <w:r>
        <w:rPr>
          <w:rFonts w:ascii="Arial Narrow" w:hAnsi="Arial Narrow" w:cs="Tahoma"/>
          <w:lang w:eastAsia="it-IT" w:bidi="it-IT"/>
        </w:rPr>
        <w:t xml:space="preserve"> </w:t>
      </w:r>
    </w:p>
    <w:p w:rsidR="00DD3E1B" w:rsidRPr="009A2C2F" w:rsidRDefault="00DD3E1B" w:rsidP="00DD3E1B">
      <w:pPr>
        <w:widowControl w:val="0"/>
        <w:autoSpaceDE w:val="0"/>
        <w:autoSpaceDN w:val="0"/>
        <w:adjustRightInd w:val="0"/>
        <w:rPr>
          <w:rFonts w:ascii="Arial Narrow" w:hAnsi="Arial Narrow" w:cs="Tahoma"/>
          <w:i/>
          <w:lang w:eastAsia="it-IT" w:bidi="it-IT"/>
        </w:rPr>
      </w:pPr>
      <w:r w:rsidRPr="009A2C2F">
        <w:rPr>
          <w:rFonts w:ascii="Arial Narrow" w:hAnsi="Arial Narrow" w:cs="Tahoma"/>
          <w:lang w:eastAsia="it-IT" w:bidi="it-IT"/>
        </w:rPr>
        <w:t xml:space="preserve">William Wordsworth, ‘Lines Written a few Miles Above Tintern Abbey’, </w:t>
      </w:r>
      <w:r w:rsidRPr="009A2C2F">
        <w:rPr>
          <w:rFonts w:ascii="Arial Narrow" w:hAnsi="Arial Narrow" w:cs="Tahoma"/>
          <w:i/>
          <w:lang w:eastAsia="it-IT" w:bidi="it-IT"/>
        </w:rPr>
        <w:t>William Wordsworth: The Poems</w:t>
      </w:r>
      <w:r w:rsidRPr="009A2C2F">
        <w:rPr>
          <w:rFonts w:ascii="Arial Narrow" w:hAnsi="Arial Narrow" w:cs="Tahoma"/>
          <w:lang w:eastAsia="it-IT" w:bidi="it-IT"/>
        </w:rPr>
        <w:t>, vol. 1, ed. by JohnO’Hayden (New Haven and London: Yale University Press, 1977), pp. 357-362.</w:t>
      </w:r>
    </w:p>
    <w:p w:rsidR="00DD3E1B" w:rsidRDefault="00DD3E1B" w:rsidP="00DD3E1B">
      <w:pPr>
        <w:rPr>
          <w:rFonts w:ascii="Arial Narrow" w:hAnsi="Arial Narrow" w:cs="Tahoma"/>
        </w:rPr>
      </w:pPr>
    </w:p>
    <w:p w:rsidR="00DD3E1B" w:rsidRPr="00DD3E1B" w:rsidRDefault="00DD3E1B" w:rsidP="00DD3E1B">
      <w:pPr>
        <w:rPr>
          <w:rFonts w:ascii="Arial Narrow" w:hAnsi="Arial Narrow" w:cs="Tahoma"/>
        </w:rPr>
      </w:pPr>
      <w:r w:rsidRPr="00DD3E1B">
        <w:rPr>
          <w:rFonts w:ascii="Arial Narrow" w:hAnsi="Arial Narrow" w:cs="Tahoma"/>
        </w:rPr>
        <w:t xml:space="preserve">Jorge Louis Borges, ‘Pierre Menard, Author of the </w:t>
      </w:r>
      <w:r w:rsidRPr="00DD3E1B">
        <w:rPr>
          <w:rFonts w:ascii="Arial Narrow" w:hAnsi="Arial Narrow" w:cs="Tahoma"/>
          <w:i/>
        </w:rPr>
        <w:t>Quixote</w:t>
      </w:r>
      <w:r w:rsidRPr="00DD3E1B">
        <w:rPr>
          <w:rFonts w:ascii="Arial Narrow" w:hAnsi="Arial Narrow" w:cs="Tahoma"/>
        </w:rPr>
        <w:t xml:space="preserve">’, in </w:t>
      </w:r>
      <w:r w:rsidRPr="00DD3E1B">
        <w:rPr>
          <w:rFonts w:ascii="Arial Narrow" w:hAnsi="Arial Narrow" w:cs="Tahoma"/>
          <w:i/>
        </w:rPr>
        <w:t>Labyrinths</w:t>
      </w:r>
      <w:r w:rsidRPr="00DD3E1B">
        <w:rPr>
          <w:rFonts w:ascii="Arial Narrow" w:hAnsi="Arial Narrow" w:cs="Tahoma"/>
        </w:rPr>
        <w:t>, eds Donald A. Yates and James E. Irby, Preface by André Maurois (Harmondsworth: Penguin, 1962), pp. 62-71.</w:t>
      </w:r>
    </w:p>
    <w:p w:rsidR="00DD3E1B" w:rsidRDefault="00DD3E1B" w:rsidP="00DD3E1B">
      <w:pPr>
        <w:pStyle w:val="ListParagraph"/>
        <w:spacing w:after="0" w:line="240" w:lineRule="auto"/>
        <w:ind w:left="360"/>
        <w:rPr>
          <w:rFonts w:ascii="Arial Narrow" w:hAnsi="Arial Narrow" w:cs="Tahoma"/>
          <w:sz w:val="24"/>
          <w:szCs w:val="24"/>
        </w:rPr>
      </w:pPr>
    </w:p>
    <w:p w:rsidR="00DD3E1B" w:rsidRPr="00DD3E1B" w:rsidRDefault="00DD3E1B" w:rsidP="00DD3E1B">
      <w:pPr>
        <w:rPr>
          <w:rFonts w:ascii="Arial Narrow" w:hAnsi="Arial Narrow" w:cs="Calibri"/>
          <w:lang w:eastAsia="it-IT" w:bidi="it-IT"/>
        </w:rPr>
      </w:pPr>
      <w:r w:rsidRPr="00DD3E1B">
        <w:rPr>
          <w:rFonts w:ascii="Arial Narrow" w:hAnsi="Arial Narrow" w:cs="Calibri"/>
          <w:lang w:eastAsia="it-IT" w:bidi="it-IT"/>
        </w:rPr>
        <w:t xml:space="preserve">Jane Austen, </w:t>
      </w:r>
      <w:r w:rsidRPr="00DD3E1B">
        <w:rPr>
          <w:rFonts w:ascii="Arial Narrow" w:hAnsi="Arial Narrow" w:cs="Calibri"/>
          <w:i/>
          <w:lang w:eastAsia="it-IT" w:bidi="it-IT"/>
        </w:rPr>
        <w:t>Northanger Abbey</w:t>
      </w:r>
      <w:r w:rsidRPr="00DD3E1B">
        <w:rPr>
          <w:rFonts w:ascii="Arial Narrow" w:hAnsi="Arial Narrow" w:cs="Calibri"/>
          <w:lang w:eastAsia="it-IT" w:bidi="it-IT"/>
        </w:rPr>
        <w:t xml:space="preserve"> (Harmondsworth: Penguin Popular Classics, 1994 [1818])</w:t>
      </w:r>
    </w:p>
    <w:p w:rsidR="00DD3E1B" w:rsidRDefault="00DD3E1B" w:rsidP="00DD3E1B">
      <w:pPr>
        <w:rPr>
          <w:rFonts w:ascii="Arial Narrow" w:hAnsi="Arial Narrow" w:cs="Calibri"/>
          <w:i/>
          <w:lang w:eastAsia="it-IT" w:bidi="it-IT"/>
        </w:rPr>
      </w:pPr>
    </w:p>
    <w:p w:rsidR="00DD3E1B" w:rsidRPr="00DD3E1B" w:rsidRDefault="00DD3E1B" w:rsidP="00DD3E1B">
      <w:pPr>
        <w:rPr>
          <w:rFonts w:ascii="Arial Narrow" w:hAnsi="Arial Narrow" w:cs="Tahoma"/>
        </w:rPr>
      </w:pPr>
      <w:r w:rsidRPr="00DD3E1B">
        <w:rPr>
          <w:rFonts w:ascii="Arial Narrow" w:hAnsi="Arial Narrow" w:cs="Tahoma"/>
        </w:rPr>
        <w:t xml:space="preserve">Aristotle’s </w:t>
      </w:r>
      <w:r w:rsidRPr="00DD3E1B">
        <w:rPr>
          <w:rFonts w:ascii="Arial Narrow" w:hAnsi="Arial Narrow" w:cs="Tahoma"/>
          <w:i/>
        </w:rPr>
        <w:t>Poetics</w:t>
      </w:r>
      <w:r w:rsidRPr="00DD3E1B">
        <w:rPr>
          <w:rFonts w:ascii="Arial Narrow" w:hAnsi="Arial Narrow" w:cs="Tahoma"/>
        </w:rPr>
        <w:t xml:space="preserve"> (Harmondsworth: Penguin Classics, 1996). </w:t>
      </w:r>
    </w:p>
    <w:p w:rsidR="00DD3E1B" w:rsidRDefault="00DD3E1B" w:rsidP="00DD3E1B">
      <w:pPr>
        <w:rPr>
          <w:rFonts w:ascii="Arial Narrow" w:hAnsi="Arial Narrow" w:cs="Calibri"/>
          <w:lang w:eastAsia="it-IT" w:bidi="it-IT"/>
        </w:rPr>
      </w:pPr>
    </w:p>
    <w:p w:rsidR="00DD3E1B" w:rsidRPr="00DD3E1B" w:rsidRDefault="00DD3E1B" w:rsidP="00DD3E1B">
      <w:pPr>
        <w:rPr>
          <w:rFonts w:ascii="Arial Narrow" w:hAnsi="Arial Narrow" w:cs="Tahoma"/>
        </w:rPr>
      </w:pPr>
      <w:r w:rsidRPr="00DD3E1B">
        <w:rPr>
          <w:rFonts w:ascii="Arial Narrow" w:hAnsi="Arial Narrow" w:cs="Calibri"/>
          <w:lang w:eastAsia="it-IT" w:bidi="it-IT"/>
        </w:rPr>
        <w:t xml:space="preserve">Philip Sidney, </w:t>
      </w:r>
      <w:r w:rsidRPr="00DD3E1B">
        <w:rPr>
          <w:rFonts w:ascii="Arial Narrow" w:hAnsi="Arial Narrow" w:cs="TimesNewRomanPSMT"/>
          <w:i/>
          <w:lang w:val="en-US"/>
        </w:rPr>
        <w:t xml:space="preserve">An Apology for Poetry </w:t>
      </w:r>
      <w:r w:rsidRPr="00DD3E1B">
        <w:rPr>
          <w:rFonts w:ascii="Arial Narrow" w:hAnsi="Arial Narrow" w:cs="TimesNewRomanPSMT"/>
          <w:lang w:val="en-US"/>
        </w:rPr>
        <w:t xml:space="preserve">(or </w:t>
      </w:r>
      <w:r w:rsidRPr="00DD3E1B">
        <w:rPr>
          <w:rFonts w:ascii="Arial Narrow" w:hAnsi="Arial Narrow" w:cs="TimesNewRomanPSMT"/>
          <w:i/>
          <w:lang w:val="en-US"/>
        </w:rPr>
        <w:t>The Defense of Poesy</w:t>
      </w:r>
      <w:r w:rsidRPr="00DD3E1B">
        <w:rPr>
          <w:rFonts w:ascii="Arial Narrow" w:hAnsi="Arial Narrow" w:cs="TimesNewRomanPSMT"/>
          <w:lang w:val="en-US"/>
        </w:rPr>
        <w:t>), revised edition, by R. W. Maslen and Geoffrey Shepherd (Manchester: Manchester University Press, 2002).</w:t>
      </w:r>
      <w:r w:rsidRPr="00DD3E1B">
        <w:rPr>
          <w:rFonts w:ascii="Arial Narrow" w:hAnsi="Arial Narrow" w:cs="ArialMT"/>
          <w:lang w:val="en-US"/>
        </w:rPr>
        <w:t xml:space="preserve"> </w:t>
      </w:r>
    </w:p>
    <w:p w:rsidR="00DD3E1B" w:rsidRPr="00DD3E1B" w:rsidRDefault="00DD3E1B" w:rsidP="00DD3E1B">
      <w:pPr>
        <w:rPr>
          <w:rFonts w:ascii="Arial Narrow" w:hAnsi="Arial Narrow" w:cs="Calibri"/>
          <w:lang w:eastAsia="it-IT" w:bidi="it-IT"/>
        </w:rPr>
      </w:pPr>
    </w:p>
    <w:p w:rsidR="00DD3E1B" w:rsidRDefault="00DD3E1B" w:rsidP="00DD3E1B">
      <w:pPr>
        <w:rPr>
          <w:rFonts w:ascii="Arial Narrow" w:hAnsi="Arial Narrow" w:cs="Calibri"/>
          <w:b/>
          <w:lang w:eastAsia="it-IT" w:bidi="it-IT"/>
        </w:rPr>
      </w:pPr>
      <w:r>
        <w:rPr>
          <w:rFonts w:ascii="Arial Narrow" w:hAnsi="Arial Narrow" w:cs="Calibri"/>
          <w:b/>
          <w:lang w:eastAsia="it-IT" w:bidi="it-IT"/>
        </w:rPr>
        <w:t>Film:</w:t>
      </w:r>
    </w:p>
    <w:p w:rsidR="00DD3E1B" w:rsidRPr="00DD3E1B" w:rsidRDefault="00DD3E1B" w:rsidP="00DD3E1B">
      <w:pPr>
        <w:rPr>
          <w:rFonts w:ascii="Arial Narrow" w:hAnsi="Arial Narrow" w:cs="Calibri"/>
          <w:b/>
          <w:lang w:eastAsia="it-IT" w:bidi="it-IT"/>
        </w:rPr>
      </w:pPr>
    </w:p>
    <w:p w:rsidR="00DD3E1B" w:rsidRPr="00DD3E1B" w:rsidRDefault="00DD3E1B" w:rsidP="00DD3E1B">
      <w:pPr>
        <w:rPr>
          <w:rFonts w:ascii="Arial Narrow" w:hAnsi="Arial Narrow" w:cs="Calibri"/>
          <w:lang w:eastAsia="it-IT" w:bidi="it-IT"/>
        </w:rPr>
      </w:pPr>
      <w:r w:rsidRPr="00DD3E1B">
        <w:rPr>
          <w:rFonts w:ascii="Arial Narrow" w:hAnsi="Arial Narrow" w:cs="Calibri"/>
          <w:i/>
          <w:lang w:eastAsia="it-IT" w:bidi="it-IT"/>
        </w:rPr>
        <w:t>Pretty Woman</w:t>
      </w:r>
      <w:r w:rsidRPr="00DD3E1B">
        <w:rPr>
          <w:rFonts w:ascii="Arial Narrow" w:hAnsi="Arial Narrow" w:cs="Calibri"/>
          <w:lang w:eastAsia="it-IT" w:bidi="it-IT"/>
        </w:rPr>
        <w:t>. Directed by Gerry Marshall, with Richard Gere and Julia Roberts (1990)</w:t>
      </w:r>
    </w:p>
    <w:p w:rsidR="00DD3E1B" w:rsidRDefault="00DD3E1B" w:rsidP="00DD3E1B">
      <w:pPr>
        <w:rPr>
          <w:rFonts w:ascii="Arial Narrow" w:hAnsi="Arial Narrow" w:cs="Tahoma"/>
        </w:rPr>
      </w:pPr>
    </w:p>
    <w:p w:rsidR="00DD3E1B" w:rsidRPr="00DD3E1B" w:rsidRDefault="00DD3E1B" w:rsidP="00DD3E1B">
      <w:pPr>
        <w:rPr>
          <w:rFonts w:ascii="Arial Narrow" w:hAnsi="Arial Narrow" w:cs="Tahoma"/>
          <w:b/>
        </w:rPr>
      </w:pPr>
      <w:r w:rsidRPr="00DD3E1B">
        <w:rPr>
          <w:rFonts w:ascii="Arial Narrow" w:hAnsi="Arial Narrow" w:cs="Tahoma"/>
          <w:b/>
        </w:rPr>
        <w:t>Critical texts:</w:t>
      </w:r>
    </w:p>
    <w:p w:rsidR="00DD3E1B" w:rsidRDefault="00DD3E1B" w:rsidP="00DD3E1B">
      <w:pPr>
        <w:rPr>
          <w:rFonts w:ascii="Arial Narrow" w:hAnsi="Arial Narrow" w:cs="Tahoma"/>
        </w:rPr>
      </w:pPr>
    </w:p>
    <w:p w:rsidR="00DD3E1B" w:rsidRPr="00DD3E1B" w:rsidRDefault="00DD3E1B" w:rsidP="00DD3E1B">
      <w:pPr>
        <w:rPr>
          <w:rFonts w:ascii="Arial Narrow" w:hAnsi="Arial Narrow" w:cs="Tahoma"/>
        </w:rPr>
      </w:pPr>
      <w:r w:rsidRPr="00DD3E1B">
        <w:rPr>
          <w:rFonts w:ascii="Arial Narrow" w:hAnsi="Arial Narrow" w:cs="Tahoma"/>
        </w:rPr>
        <w:t xml:space="preserve">Roland Barthes, ‘The Death of the Author’, in </w:t>
      </w:r>
      <w:r w:rsidRPr="00DD3E1B">
        <w:rPr>
          <w:rFonts w:ascii="Arial Narrow" w:hAnsi="Arial Narrow" w:cs="Tahoma"/>
          <w:i/>
        </w:rPr>
        <w:t>Image, Music, Text</w:t>
      </w:r>
      <w:r w:rsidRPr="00DD3E1B">
        <w:rPr>
          <w:rFonts w:ascii="Arial Narrow" w:hAnsi="Arial Narrow" w:cs="Tahoma"/>
        </w:rPr>
        <w:t>, ed. Stephen Heath (London: Fontana, 1977), pp. 142–149.</w:t>
      </w:r>
    </w:p>
    <w:p w:rsidR="00DD3E1B" w:rsidRDefault="00DD3E1B" w:rsidP="00DD3E1B">
      <w:pPr>
        <w:widowControl w:val="0"/>
        <w:autoSpaceDE w:val="0"/>
        <w:autoSpaceDN w:val="0"/>
        <w:adjustRightInd w:val="0"/>
        <w:rPr>
          <w:rFonts w:ascii="Arial Narrow" w:hAnsi="Arial Narrow" w:cs="Tahoma"/>
        </w:rPr>
      </w:pPr>
    </w:p>
    <w:p w:rsidR="00DD3E1B" w:rsidRPr="009A2C2F" w:rsidRDefault="00DD3E1B" w:rsidP="00DD3E1B">
      <w:pPr>
        <w:widowControl w:val="0"/>
        <w:autoSpaceDE w:val="0"/>
        <w:autoSpaceDN w:val="0"/>
        <w:adjustRightInd w:val="0"/>
        <w:rPr>
          <w:rFonts w:ascii="Arial Narrow" w:hAnsi="Arial Narrow" w:cs="TimesNewRomanPSMT"/>
          <w:lang w:val="it-IT" w:bidi="it-IT"/>
        </w:rPr>
      </w:pPr>
      <w:r w:rsidRPr="009A2C2F">
        <w:rPr>
          <w:rFonts w:ascii="Arial Narrow" w:hAnsi="Arial Narrow" w:cs="Tahoma"/>
        </w:rPr>
        <w:t>Michel Foucault, ‘What Is An Author?’</w:t>
      </w:r>
      <w:r w:rsidRPr="009A2C2F">
        <w:rPr>
          <w:rFonts w:ascii="Arial Narrow" w:hAnsi="Arial Narrow" w:cs="TimesNewRomanPSMT"/>
          <w:lang w:val="it-IT" w:bidi="it-IT"/>
        </w:rPr>
        <w:t xml:space="preserve">(1969), </w:t>
      </w:r>
      <w:r w:rsidRPr="009A2C2F">
        <w:rPr>
          <w:rFonts w:ascii="Arial Narrow" w:hAnsi="Arial Narrow" w:cs="TimesNewRomanPS-ItalicMT"/>
          <w:i/>
          <w:iCs/>
          <w:lang w:val="it-IT" w:bidi="it-IT"/>
        </w:rPr>
        <w:t>The Foucault Reader</w:t>
      </w:r>
      <w:r w:rsidRPr="009A2C2F">
        <w:rPr>
          <w:rFonts w:ascii="Arial Narrow" w:hAnsi="Arial Narrow" w:cs="TimesNewRomanPSMT"/>
          <w:lang w:val="it-IT" w:bidi="it-IT"/>
        </w:rPr>
        <w:t xml:space="preserve">, ed. Paul Rabinow (Harmondsworth: </w:t>
      </w:r>
      <w:r w:rsidRPr="009A2C2F">
        <w:rPr>
          <w:rFonts w:ascii="Arial Narrow" w:hAnsi="Arial Narrow" w:cs="TimesNewRomanPSMT"/>
          <w:lang w:val="it-IT" w:bidi="it-IT"/>
        </w:rPr>
        <w:lastRenderedPageBreak/>
        <w:t>Penguin, 1984), pp. 101-120.</w:t>
      </w:r>
    </w:p>
    <w:p w:rsidR="00DD3E1B" w:rsidRPr="009A2C2F" w:rsidRDefault="00DD3E1B" w:rsidP="00DD3E1B">
      <w:pPr>
        <w:widowControl w:val="0"/>
        <w:autoSpaceDE w:val="0"/>
        <w:autoSpaceDN w:val="0"/>
        <w:adjustRightInd w:val="0"/>
        <w:ind w:left="708"/>
        <w:rPr>
          <w:rFonts w:ascii="Arial Narrow" w:hAnsi="Arial Narrow" w:cs="TimesNewRomanPSMT"/>
          <w:b/>
          <w:lang w:val="it-IT" w:bidi="it-IT"/>
        </w:rPr>
      </w:pPr>
    </w:p>
    <w:p w:rsidR="00DD3E1B" w:rsidRPr="009A2C2F" w:rsidRDefault="00DD3E1B" w:rsidP="00DD3E1B">
      <w:pPr>
        <w:widowControl w:val="0"/>
        <w:autoSpaceDE w:val="0"/>
        <w:autoSpaceDN w:val="0"/>
        <w:adjustRightInd w:val="0"/>
        <w:rPr>
          <w:rFonts w:ascii="Arial Narrow" w:hAnsi="Arial Narrow" w:cs="Tahoma"/>
          <w:u w:val="single"/>
          <w:lang w:eastAsia="it-IT" w:bidi="it-IT"/>
        </w:rPr>
      </w:pPr>
      <w:r w:rsidRPr="009A2C2F">
        <w:rPr>
          <w:rFonts w:ascii="Arial Narrow" w:hAnsi="Arial Narrow" w:cs="TimesNewRomanPSMT"/>
          <w:lang w:val="it-IT" w:bidi="it-IT"/>
        </w:rPr>
        <w:t>W.K. Wimsatt, Jr., and Monroe C. Beardsley</w:t>
      </w:r>
      <w:r w:rsidRPr="009A2C2F">
        <w:rPr>
          <w:rFonts w:ascii="Arial Narrow" w:hAnsi="Arial Narrow" w:cs="Tahoma"/>
        </w:rPr>
        <w:t xml:space="preserve">, ‘The Intentional Fallacy’, </w:t>
      </w:r>
      <w:r w:rsidRPr="009A2C2F">
        <w:rPr>
          <w:rFonts w:ascii="Arial Narrow" w:hAnsi="Arial Narrow" w:cs="TimesNewRomanPSMT"/>
          <w:i/>
          <w:lang w:val="it-IT" w:bidi="it-IT"/>
        </w:rPr>
        <w:t>Sewanee Review</w:t>
      </w:r>
      <w:r w:rsidRPr="009A2C2F">
        <w:rPr>
          <w:rFonts w:ascii="Arial Narrow" w:hAnsi="Arial Narrow" w:cs="TimesNewRomanPSMT"/>
          <w:lang w:val="it-IT" w:bidi="it-IT"/>
        </w:rPr>
        <w:t>, 54:3 (1946), 468–488.</w:t>
      </w:r>
      <w:r w:rsidRPr="009A2C2F">
        <w:rPr>
          <w:rFonts w:ascii="Arial Narrow" w:hAnsi="Arial Narrow" w:cs="Tahoma"/>
          <w:u w:val="single"/>
          <w:lang w:eastAsia="it-IT" w:bidi="it-IT"/>
        </w:rPr>
        <w:t xml:space="preserve"> </w:t>
      </w:r>
    </w:p>
    <w:p w:rsidR="00DD3E1B" w:rsidRDefault="00DD3E1B" w:rsidP="00DD3E1B">
      <w:pPr>
        <w:rPr>
          <w:rFonts w:ascii="Arial Narrow" w:hAnsi="Arial Narrow" w:cs="Tahoma"/>
        </w:rPr>
      </w:pPr>
    </w:p>
    <w:p w:rsidR="00DD3E1B" w:rsidRPr="00DD3E1B" w:rsidRDefault="00DD3E1B" w:rsidP="00DD3E1B">
      <w:pPr>
        <w:rPr>
          <w:rFonts w:ascii="Arial Narrow" w:hAnsi="Arial Narrow" w:cs="Tahoma"/>
        </w:rPr>
      </w:pPr>
      <w:r w:rsidRPr="00DD3E1B">
        <w:rPr>
          <w:rFonts w:ascii="Arial Narrow" w:hAnsi="Arial Narrow" w:cs="Tahoma"/>
        </w:rPr>
        <w:t xml:space="preserve">Eric Auerbach, chapter 1, ‘Odysseus’ Scar’ in </w:t>
      </w:r>
      <w:r w:rsidRPr="00DD3E1B">
        <w:rPr>
          <w:rFonts w:ascii="Arial Narrow" w:hAnsi="Arial Narrow" w:cs="Tahoma"/>
          <w:i/>
        </w:rPr>
        <w:t>Mimesis: The Representation of Reality in Western Literature</w:t>
      </w:r>
      <w:r w:rsidRPr="00DD3E1B">
        <w:rPr>
          <w:rFonts w:ascii="Arial Narrow" w:hAnsi="Arial Narrow" w:cs="Tahoma"/>
        </w:rPr>
        <w:t>, trans. Willard R. Trask (Princeton: Princeton UP, 50</w:t>
      </w:r>
      <w:r w:rsidRPr="00DD3E1B">
        <w:rPr>
          <w:rFonts w:ascii="Arial Narrow" w:hAnsi="Arial Narrow" w:cs="Tahoma"/>
          <w:vertAlign w:val="superscript"/>
        </w:rPr>
        <w:t>th</w:t>
      </w:r>
      <w:r w:rsidRPr="00DD3E1B">
        <w:rPr>
          <w:rFonts w:ascii="Arial Narrow" w:hAnsi="Arial Narrow" w:cs="Tahoma"/>
        </w:rPr>
        <w:t xml:space="preserve"> anniversary edition, 2003) </w:t>
      </w:r>
    </w:p>
    <w:p w:rsidR="00DD3E1B" w:rsidRDefault="00DD3E1B" w:rsidP="00DD3E1B">
      <w:pPr>
        <w:rPr>
          <w:rFonts w:ascii="Arial Narrow" w:hAnsi="Arial Narrow" w:cs="Tahoma"/>
        </w:rPr>
      </w:pPr>
    </w:p>
    <w:p w:rsidR="00DD3E1B" w:rsidRPr="00DD3E1B" w:rsidRDefault="00DD3E1B" w:rsidP="00DD3E1B">
      <w:pPr>
        <w:rPr>
          <w:rFonts w:ascii="Arial Narrow" w:hAnsi="Arial Narrow" w:cs="Tahoma"/>
        </w:rPr>
      </w:pPr>
      <w:r w:rsidRPr="00DD3E1B">
        <w:rPr>
          <w:rFonts w:ascii="Arial Narrow" w:hAnsi="Arial Narrow" w:cs="Tahoma"/>
        </w:rPr>
        <w:t xml:space="preserve">Peter Brooks, ‘Reading for the Plot’ in </w:t>
      </w:r>
      <w:r w:rsidRPr="00DD3E1B">
        <w:rPr>
          <w:rFonts w:ascii="Arial Narrow" w:hAnsi="Arial Narrow" w:cs="Tahoma"/>
          <w:i/>
        </w:rPr>
        <w:t>Reading for the Plot: Design and Intention in Narrative</w:t>
      </w:r>
      <w:r w:rsidRPr="00DD3E1B">
        <w:rPr>
          <w:rFonts w:ascii="Arial Narrow" w:hAnsi="Arial Narrow" w:cs="Tahoma"/>
        </w:rPr>
        <w:t xml:space="preserve"> (Cambridge, MA: Harvard University Press, 1986), pp. 3</w:t>
      </w:r>
      <w:r w:rsidRPr="00DD3E1B">
        <w:rPr>
          <w:rFonts w:ascii="Arial Narrow" w:hAnsi="Arial Narrow" w:cs="Tahoma"/>
        </w:rPr>
        <w:softHyphen/>
        <w:t xml:space="preserve">-36. </w:t>
      </w:r>
    </w:p>
    <w:p w:rsidR="00DD3E1B" w:rsidRDefault="00DD3E1B" w:rsidP="00DD3E1B">
      <w:pPr>
        <w:rPr>
          <w:rFonts w:ascii="Arial Narrow" w:hAnsi="Arial Narrow" w:cs="Tahoma"/>
        </w:rPr>
      </w:pPr>
    </w:p>
    <w:p w:rsidR="00DD3E1B" w:rsidRPr="00DD3E1B" w:rsidRDefault="00DD3E1B" w:rsidP="00DD3E1B">
      <w:pPr>
        <w:rPr>
          <w:rFonts w:ascii="Arial Narrow" w:hAnsi="Arial Narrow" w:cs="Tahoma"/>
        </w:rPr>
      </w:pPr>
      <w:r w:rsidRPr="00DD3E1B">
        <w:rPr>
          <w:rFonts w:ascii="Arial Narrow" w:hAnsi="Arial Narrow" w:cs="Tahoma"/>
        </w:rPr>
        <w:t xml:space="preserve">Wolfgang Iser, </w:t>
      </w:r>
      <w:r w:rsidRPr="00DD3E1B">
        <w:rPr>
          <w:rFonts w:ascii="Arial Narrow" w:hAnsi="Arial Narrow" w:cs="Tahoma"/>
          <w:i/>
        </w:rPr>
        <w:t xml:space="preserve">The Act of Reading: A Theory of Aesthetic Response </w:t>
      </w:r>
      <w:r w:rsidRPr="00DD3E1B">
        <w:rPr>
          <w:rFonts w:ascii="Arial Narrow" w:hAnsi="Arial Narrow" w:cs="Tahoma"/>
        </w:rPr>
        <w:t>(Baltimore and London: Johns Hopkins University Press, 1978 [1976], pp. 3–19</w:t>
      </w:r>
    </w:p>
    <w:p w:rsidR="00DD3E1B" w:rsidRDefault="00DD3E1B" w:rsidP="00DD3E1B">
      <w:pPr>
        <w:widowControl w:val="0"/>
        <w:autoSpaceDE w:val="0"/>
        <w:autoSpaceDN w:val="0"/>
        <w:adjustRightInd w:val="0"/>
        <w:rPr>
          <w:rFonts w:ascii="Arial Narrow" w:hAnsi="Arial Narrow" w:cs="Calibri"/>
          <w:lang w:eastAsia="it-IT" w:bidi="it-IT"/>
        </w:rPr>
      </w:pPr>
    </w:p>
    <w:p w:rsidR="00DD3E1B" w:rsidRPr="009A2C2F" w:rsidRDefault="00DD3E1B" w:rsidP="00DD3E1B">
      <w:pPr>
        <w:widowControl w:val="0"/>
        <w:autoSpaceDE w:val="0"/>
        <w:autoSpaceDN w:val="0"/>
        <w:adjustRightInd w:val="0"/>
        <w:rPr>
          <w:rFonts w:ascii="Arial Narrow" w:hAnsi="Arial Narrow" w:cs="Tahoma"/>
          <w:b/>
        </w:rPr>
      </w:pPr>
      <w:r w:rsidRPr="009A2C2F">
        <w:rPr>
          <w:rFonts w:ascii="Arial Narrow" w:hAnsi="Arial Narrow" w:cs="Calibri"/>
          <w:lang w:eastAsia="it-IT" w:bidi="it-IT"/>
        </w:rPr>
        <w:t xml:space="preserve">JH Miller, ‘The Ethics of Reading’, </w:t>
      </w:r>
      <w:r w:rsidRPr="009A2C2F">
        <w:rPr>
          <w:rFonts w:ascii="Arial Narrow" w:hAnsi="Arial Narrow" w:cs="Calibri"/>
          <w:i/>
          <w:lang w:eastAsia="it-IT" w:bidi="it-IT"/>
        </w:rPr>
        <w:t xml:space="preserve">Theory Now and Then </w:t>
      </w:r>
      <w:r w:rsidRPr="009A2C2F">
        <w:rPr>
          <w:rFonts w:ascii="Arial Narrow" w:hAnsi="Arial Narrow" w:cs="Calibri"/>
          <w:lang w:eastAsia="it-IT" w:bidi="it-IT"/>
        </w:rPr>
        <w:t>(Hemel Hampstead: Harvester Wheatsheaf: 1991), p. 329-340.</w:t>
      </w:r>
    </w:p>
    <w:p w:rsidR="00DD3E1B" w:rsidRPr="009A2C2F" w:rsidRDefault="00DD3E1B" w:rsidP="00DD3E1B">
      <w:pPr>
        <w:widowControl w:val="0"/>
        <w:autoSpaceDE w:val="0"/>
        <w:autoSpaceDN w:val="0"/>
        <w:adjustRightInd w:val="0"/>
        <w:rPr>
          <w:rFonts w:ascii="Arial Narrow" w:hAnsi="Arial Narrow" w:cs="Tahoma"/>
          <w:b/>
        </w:rPr>
      </w:pPr>
    </w:p>
    <w:p w:rsidR="00956951" w:rsidRPr="00DD3E1B" w:rsidRDefault="00DD3E1B" w:rsidP="00DD3E1B">
      <w:pPr>
        <w:widowControl w:val="0"/>
        <w:autoSpaceDE w:val="0"/>
        <w:autoSpaceDN w:val="0"/>
        <w:adjustRightInd w:val="0"/>
        <w:rPr>
          <w:rFonts w:ascii="Arial Narrow" w:hAnsi="Arial Narrow" w:cs="Code 2000"/>
          <w:color w:val="000000"/>
          <w:lang w:val="en-US" w:bidi="en-US"/>
        </w:rPr>
      </w:pPr>
      <w:bookmarkStart w:id="0" w:name="_GoBack"/>
      <w:bookmarkEnd w:id="0"/>
      <w:r w:rsidRPr="009A2C2F">
        <w:rPr>
          <w:rFonts w:ascii="Arial Narrow" w:hAnsi="Arial Narrow" w:cs="Code 2000"/>
          <w:color w:val="000000"/>
          <w:lang w:val="en-US" w:bidi="en-US"/>
        </w:rPr>
        <w:t xml:space="preserve">Roland Barthes, </w:t>
      </w:r>
      <w:r w:rsidRPr="009A2C2F">
        <w:rPr>
          <w:rFonts w:ascii="Arial Narrow" w:hAnsi="Arial Narrow" w:cs="Code 2000"/>
          <w:i/>
          <w:color w:val="000000"/>
          <w:lang w:val="en-US" w:bidi="en-US"/>
        </w:rPr>
        <w:t>Mythologies</w:t>
      </w:r>
      <w:r w:rsidRPr="009A2C2F">
        <w:rPr>
          <w:rFonts w:ascii="Arial Narrow" w:hAnsi="Arial Narrow" w:cs="Code 2000"/>
          <w:color w:val="000000"/>
          <w:lang w:val="en-US" w:bidi="en-US"/>
        </w:rPr>
        <w:t xml:space="preserve"> (London: Vintage, 2000 [1957])</w:t>
      </w:r>
    </w:p>
    <w:sectPr w:rsidR="00956951" w:rsidRPr="00DD3E1B" w:rsidSect="00F064FF">
      <w:footerReference w:type="even" r:id="rId7"/>
      <w:footerReference w:type="default" r:id="rId8"/>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imSun">
    <w:altName w:val="??"/>
    <w:panose1 w:val="00000000000000000000"/>
    <w:charset w:val="86"/>
    <w:family w:val="auto"/>
    <w:notTrueType/>
    <w:pitch w:val="variable"/>
    <w:sig w:usb0="00000001" w:usb1="080E0000" w:usb2="00000010" w:usb3="00000000" w:csb0="00040000"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TimesNewRomanPS-ItalicMT">
    <w:altName w:val="Times New Roman"/>
    <w:panose1 w:val="00000000000000000000"/>
    <w:charset w:val="4D"/>
    <w:family w:val="roman"/>
    <w:notTrueType/>
    <w:pitch w:val="default"/>
    <w:sig w:usb0="00000003" w:usb1="00000000" w:usb2="00000000" w:usb3="00000000" w:csb0="00000001" w:csb1="00000000"/>
  </w:font>
  <w:font w:name="Code 2000">
    <w:altName w:val="Times New Roman"/>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4FF" w:rsidRDefault="00CB616C" w:rsidP="00F06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64FF" w:rsidRDefault="00CB616C" w:rsidP="00F064F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4FF" w:rsidRPr="009A2C2F" w:rsidRDefault="00CB616C" w:rsidP="00F064FF">
    <w:pPr>
      <w:pStyle w:val="Footer"/>
      <w:framePr w:wrap="around" w:vAnchor="text" w:hAnchor="margin" w:xAlign="right" w:y="1"/>
      <w:rPr>
        <w:rStyle w:val="PageNumber"/>
        <w:rFonts w:ascii="Arial Narrow" w:hAnsi="Arial Narrow"/>
      </w:rPr>
    </w:pPr>
    <w:r w:rsidRPr="009A2C2F">
      <w:rPr>
        <w:rStyle w:val="PageNumber"/>
        <w:rFonts w:ascii="Arial Narrow" w:hAnsi="Arial Narrow"/>
      </w:rPr>
      <w:fldChar w:fldCharType="begin"/>
    </w:r>
    <w:r w:rsidRPr="009A2C2F">
      <w:rPr>
        <w:rStyle w:val="PageNumber"/>
        <w:rFonts w:ascii="Arial Narrow" w:hAnsi="Arial Narrow"/>
      </w:rPr>
      <w:instrText xml:space="preserve">PAGE  </w:instrText>
    </w:r>
    <w:r w:rsidRPr="009A2C2F">
      <w:rPr>
        <w:rStyle w:val="PageNumber"/>
        <w:rFonts w:ascii="Arial Narrow" w:hAnsi="Arial Narrow"/>
      </w:rPr>
      <w:fldChar w:fldCharType="separate"/>
    </w:r>
    <w:r>
      <w:rPr>
        <w:rStyle w:val="PageNumber"/>
        <w:rFonts w:ascii="Arial Narrow" w:hAnsi="Arial Narrow"/>
        <w:noProof/>
      </w:rPr>
      <w:t>1</w:t>
    </w:r>
    <w:r w:rsidRPr="009A2C2F">
      <w:rPr>
        <w:rStyle w:val="PageNumber"/>
        <w:rFonts w:ascii="Arial Narrow" w:hAnsi="Arial Narrow"/>
      </w:rPr>
      <w:fldChar w:fldCharType="end"/>
    </w:r>
  </w:p>
  <w:p w:rsidR="00F064FF" w:rsidRDefault="00CB616C" w:rsidP="00F064FF">
    <w:pPr>
      <w:pStyle w:val="Footer"/>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3C99"/>
    <w:multiLevelType w:val="hybridMultilevel"/>
    <w:tmpl w:val="D95C60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4FE0865"/>
    <w:multiLevelType w:val="hybridMultilevel"/>
    <w:tmpl w:val="7AA6C772"/>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2">
    <w:nsid w:val="1C9C32AD"/>
    <w:multiLevelType w:val="hybridMultilevel"/>
    <w:tmpl w:val="C12C33B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DC246D0"/>
    <w:multiLevelType w:val="hybridMultilevel"/>
    <w:tmpl w:val="DDCEE93C"/>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4">
    <w:nsid w:val="2E221A58"/>
    <w:multiLevelType w:val="hybridMultilevel"/>
    <w:tmpl w:val="9BDA6F56"/>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5">
    <w:nsid w:val="321C1F89"/>
    <w:multiLevelType w:val="hybridMultilevel"/>
    <w:tmpl w:val="C39017D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33D5231C"/>
    <w:multiLevelType w:val="hybridMultilevel"/>
    <w:tmpl w:val="B9F21F8E"/>
    <w:lvl w:ilvl="0" w:tplc="43B4CF56">
      <w:start w:val="2"/>
      <w:numFmt w:val="bullet"/>
      <w:lvlText w:val="-"/>
      <w:lvlJc w:val="left"/>
      <w:pPr>
        <w:tabs>
          <w:tab w:val="num" w:pos="720"/>
        </w:tabs>
        <w:ind w:left="720" w:hanging="360"/>
      </w:pPr>
      <w:rPr>
        <w:rFonts w:ascii="Times New Roman" w:eastAsia="SimSun" w:hAnsi="Times New Roman" w:hint="default"/>
        <w:w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7A09A0"/>
    <w:multiLevelType w:val="hybridMultilevel"/>
    <w:tmpl w:val="069023F0"/>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8">
    <w:nsid w:val="37FF7AC5"/>
    <w:multiLevelType w:val="hybridMultilevel"/>
    <w:tmpl w:val="51FE1150"/>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9">
    <w:nsid w:val="487166ED"/>
    <w:multiLevelType w:val="hybridMultilevel"/>
    <w:tmpl w:val="2280E04A"/>
    <w:lvl w:ilvl="0" w:tplc="00010410">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10">
    <w:nsid w:val="49BF72DA"/>
    <w:multiLevelType w:val="hybridMultilevel"/>
    <w:tmpl w:val="CAC4778E"/>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11">
    <w:nsid w:val="517B2015"/>
    <w:multiLevelType w:val="hybridMultilevel"/>
    <w:tmpl w:val="F69EA1B8"/>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12">
    <w:nsid w:val="599B5BE6"/>
    <w:multiLevelType w:val="hybridMultilevel"/>
    <w:tmpl w:val="91C82A38"/>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13">
    <w:nsid w:val="5B190EB6"/>
    <w:multiLevelType w:val="hybridMultilevel"/>
    <w:tmpl w:val="1A2C872E"/>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14">
    <w:nsid w:val="5C1F5AE9"/>
    <w:multiLevelType w:val="hybridMultilevel"/>
    <w:tmpl w:val="CB70026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659E1EEB"/>
    <w:multiLevelType w:val="hybridMultilevel"/>
    <w:tmpl w:val="C1EE5710"/>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16">
    <w:nsid w:val="6BE17053"/>
    <w:multiLevelType w:val="hybridMultilevel"/>
    <w:tmpl w:val="EEB67476"/>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17">
    <w:nsid w:val="717F5698"/>
    <w:multiLevelType w:val="hybridMultilevel"/>
    <w:tmpl w:val="849A7562"/>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18">
    <w:nsid w:val="71AD50B4"/>
    <w:multiLevelType w:val="hybridMultilevel"/>
    <w:tmpl w:val="05B06946"/>
    <w:lvl w:ilvl="0" w:tplc="00010410">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8"/>
  </w:num>
  <w:num w:numId="4">
    <w:abstractNumId w:val="10"/>
  </w:num>
  <w:num w:numId="5">
    <w:abstractNumId w:val="18"/>
  </w:num>
  <w:num w:numId="6">
    <w:abstractNumId w:val="4"/>
  </w:num>
  <w:num w:numId="7">
    <w:abstractNumId w:val="11"/>
  </w:num>
  <w:num w:numId="8">
    <w:abstractNumId w:val="13"/>
  </w:num>
  <w:num w:numId="9">
    <w:abstractNumId w:val="17"/>
  </w:num>
  <w:num w:numId="10">
    <w:abstractNumId w:val="7"/>
  </w:num>
  <w:num w:numId="11">
    <w:abstractNumId w:val="9"/>
  </w:num>
  <w:num w:numId="12">
    <w:abstractNumId w:val="3"/>
  </w:num>
  <w:num w:numId="13">
    <w:abstractNumId w:val="16"/>
  </w:num>
  <w:num w:numId="14">
    <w:abstractNumId w:val="0"/>
  </w:num>
  <w:num w:numId="15">
    <w:abstractNumId w:val="14"/>
  </w:num>
  <w:num w:numId="16">
    <w:abstractNumId w:val="5"/>
  </w:num>
  <w:num w:numId="17">
    <w:abstractNumId w:val="2"/>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E1B"/>
    <w:rsid w:val="003E2B2D"/>
    <w:rsid w:val="00956951"/>
    <w:rsid w:val="00CB616C"/>
    <w:rsid w:val="00D94584"/>
    <w:rsid w:val="00DD3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8AC6D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E1B"/>
    <w:rPr>
      <w:rFonts w:eastAsia="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8133F"/>
    <w:rPr>
      <w:rFonts w:ascii="Lucida Grande" w:hAnsi="Lucida Grande"/>
      <w:sz w:val="18"/>
      <w:szCs w:val="18"/>
    </w:rPr>
  </w:style>
  <w:style w:type="paragraph" w:styleId="ListParagraph">
    <w:name w:val="List Paragraph"/>
    <w:basedOn w:val="Normal"/>
    <w:qFormat/>
    <w:rsid w:val="00DD3E1B"/>
    <w:pPr>
      <w:spacing w:after="200" w:line="276" w:lineRule="auto"/>
      <w:ind w:left="720"/>
    </w:pPr>
    <w:rPr>
      <w:rFonts w:ascii="Calibri" w:hAnsi="Calibri"/>
      <w:sz w:val="22"/>
      <w:szCs w:val="22"/>
      <w:lang w:eastAsia="zh-CN" w:bidi="en-US"/>
    </w:rPr>
  </w:style>
  <w:style w:type="paragraph" w:styleId="Footer">
    <w:name w:val="footer"/>
    <w:basedOn w:val="Normal"/>
    <w:link w:val="FooterChar"/>
    <w:semiHidden/>
    <w:rsid w:val="00DD3E1B"/>
    <w:pPr>
      <w:tabs>
        <w:tab w:val="center" w:pos="4986"/>
        <w:tab w:val="right" w:pos="9972"/>
      </w:tabs>
    </w:pPr>
  </w:style>
  <w:style w:type="character" w:customStyle="1" w:styleId="FooterChar">
    <w:name w:val="Footer Char"/>
    <w:basedOn w:val="DefaultParagraphFont"/>
    <w:link w:val="Footer"/>
    <w:semiHidden/>
    <w:rsid w:val="00DD3E1B"/>
    <w:rPr>
      <w:rFonts w:eastAsia="Times New Roman"/>
      <w:lang w:val="en-GB" w:eastAsia="en-US"/>
    </w:rPr>
  </w:style>
  <w:style w:type="character" w:styleId="PageNumber">
    <w:name w:val="page number"/>
    <w:basedOn w:val="DefaultParagraphFont"/>
    <w:rsid w:val="00DD3E1B"/>
  </w:style>
  <w:style w:type="character" w:styleId="Hyperlink">
    <w:name w:val="Hyperlink"/>
    <w:uiPriority w:val="99"/>
    <w:unhideWhenUsed/>
    <w:rsid w:val="00DD3E1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E1B"/>
    <w:rPr>
      <w:rFonts w:eastAsia="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8133F"/>
    <w:rPr>
      <w:rFonts w:ascii="Lucida Grande" w:hAnsi="Lucida Grande"/>
      <w:sz w:val="18"/>
      <w:szCs w:val="18"/>
    </w:rPr>
  </w:style>
  <w:style w:type="paragraph" w:styleId="ListParagraph">
    <w:name w:val="List Paragraph"/>
    <w:basedOn w:val="Normal"/>
    <w:qFormat/>
    <w:rsid w:val="00DD3E1B"/>
    <w:pPr>
      <w:spacing w:after="200" w:line="276" w:lineRule="auto"/>
      <w:ind w:left="720"/>
    </w:pPr>
    <w:rPr>
      <w:rFonts w:ascii="Calibri" w:hAnsi="Calibri"/>
      <w:sz w:val="22"/>
      <w:szCs w:val="22"/>
      <w:lang w:eastAsia="zh-CN" w:bidi="en-US"/>
    </w:rPr>
  </w:style>
  <w:style w:type="paragraph" w:styleId="Footer">
    <w:name w:val="footer"/>
    <w:basedOn w:val="Normal"/>
    <w:link w:val="FooterChar"/>
    <w:semiHidden/>
    <w:rsid w:val="00DD3E1B"/>
    <w:pPr>
      <w:tabs>
        <w:tab w:val="center" w:pos="4986"/>
        <w:tab w:val="right" w:pos="9972"/>
      </w:tabs>
    </w:pPr>
  </w:style>
  <w:style w:type="character" w:customStyle="1" w:styleId="FooterChar">
    <w:name w:val="Footer Char"/>
    <w:basedOn w:val="DefaultParagraphFont"/>
    <w:link w:val="Footer"/>
    <w:semiHidden/>
    <w:rsid w:val="00DD3E1B"/>
    <w:rPr>
      <w:rFonts w:eastAsia="Times New Roman"/>
      <w:lang w:val="en-GB" w:eastAsia="en-US"/>
    </w:rPr>
  </w:style>
  <w:style w:type="character" w:styleId="PageNumber">
    <w:name w:val="page number"/>
    <w:basedOn w:val="DefaultParagraphFont"/>
    <w:rsid w:val="00DD3E1B"/>
  </w:style>
  <w:style w:type="character" w:styleId="Hyperlink">
    <w:name w:val="Hyperlink"/>
    <w:uiPriority w:val="99"/>
    <w:unhideWhenUsed/>
    <w:rsid w:val="00DD3E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4" Type="http://schemas.openxmlformats.org/officeDocument/2006/relationships/settings" Target="settings.xml"/><Relationship Id="rId10" Type="http://schemas.openxmlformats.org/officeDocument/2006/relationships/theme" Target="theme/theme1.xml"/><Relationship Id="rId5" Type="http://schemas.openxmlformats.org/officeDocument/2006/relationships/webSettings" Target="webSetting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microsoft.com/office/2007/relationships/stylesWithEffects" Target="stylesWithEffects.xml"/><Relationship Id="rId6" Type="http://schemas.openxmlformats.org/officeDocument/2006/relationships/hyperlink" Target="mailto:daniela.caselli@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2542</Characters>
  <Application>Microsoft Macintosh Word</Application>
  <DocSecurity>0</DocSecurity>
  <Lines>21</Lines>
  <Paragraphs>5</Paragraphs>
  <ScaleCrop>false</ScaleCrop>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Caselli</dc:creator>
  <cp:keywords/>
  <dc:description/>
  <cp:lastModifiedBy>Daniela Caselli</cp:lastModifiedBy>
  <cp:revision>2</cp:revision>
  <dcterms:created xsi:type="dcterms:W3CDTF">2013-06-10T13:47:00Z</dcterms:created>
  <dcterms:modified xsi:type="dcterms:W3CDTF">2013-06-10T13:47:00Z</dcterms:modified>
</cp:coreProperties>
</file>