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21BA0" w:rsidRDefault="00B21BA0" w:rsidP="00B21BA0">
      <w:pPr>
        <w:pStyle w:val="default"/>
        <w:spacing w:line="280" w:lineRule="atLeast"/>
      </w:pPr>
      <w:r>
        <w:rPr>
          <w:rStyle w:val="defaultchar1"/>
          <w:b/>
          <w:bCs/>
          <w:sz w:val="28"/>
          <w:szCs w:val="28"/>
        </w:rPr>
        <w:t xml:space="preserve">MA in </w:t>
      </w:r>
      <w:r>
        <w:rPr>
          <w:rStyle w:val="defaultchar1"/>
          <w:rFonts w:hint="eastAsia"/>
          <w:b/>
          <w:bCs/>
          <w:sz w:val="28"/>
          <w:szCs w:val="28"/>
        </w:rPr>
        <w:t>Conference Interpreting</w:t>
      </w:r>
    </w:p>
    <w:p w:rsidR="00B21BA0" w:rsidRDefault="00B21BA0" w:rsidP="00B21BA0">
      <w:pPr>
        <w:pStyle w:val="default"/>
        <w:spacing w:line="280" w:lineRule="atLeast"/>
      </w:pPr>
      <w:r>
        <w:rPr>
          <w:rStyle w:val="defaultchar1"/>
          <w:b/>
          <w:bCs/>
          <w:sz w:val="28"/>
          <w:szCs w:val="28"/>
        </w:rPr>
        <w:t xml:space="preserve">Division of </w:t>
      </w:r>
      <w:r>
        <w:rPr>
          <w:rStyle w:val="defaultchar1"/>
          <w:rFonts w:hint="eastAsia"/>
          <w:b/>
          <w:bCs/>
          <w:sz w:val="28"/>
          <w:szCs w:val="28"/>
        </w:rPr>
        <w:t xml:space="preserve">Translation </w:t>
      </w:r>
      <w:r>
        <w:rPr>
          <w:rStyle w:val="defaultchar1"/>
          <w:b/>
          <w:bCs/>
          <w:sz w:val="28"/>
          <w:szCs w:val="28"/>
        </w:rPr>
        <w:t>and Intercultural Studies</w:t>
      </w:r>
    </w:p>
    <w:p w:rsidR="00B21BA0" w:rsidRDefault="00B21BA0" w:rsidP="00B21BA0">
      <w:pPr>
        <w:pStyle w:val="default"/>
        <w:spacing w:line="280" w:lineRule="atLeast"/>
      </w:pPr>
      <w:r>
        <w:rPr>
          <w:rStyle w:val="defaultchar1"/>
          <w:b/>
          <w:bCs/>
          <w:sz w:val="28"/>
          <w:szCs w:val="28"/>
        </w:rPr>
        <w:t xml:space="preserve">Reading List </w:t>
      </w:r>
    </w:p>
    <w:p w:rsidR="00B21BA0" w:rsidRDefault="00B21BA0" w:rsidP="00B21BA0">
      <w:pPr>
        <w:pStyle w:val="default"/>
      </w:pPr>
      <w:r>
        <w:t> </w:t>
      </w:r>
    </w:p>
    <w:p w:rsidR="00B21BA0" w:rsidRDefault="00B21BA0" w:rsidP="00B21BA0">
      <w:pPr>
        <w:pStyle w:val="default"/>
        <w:rPr>
          <w:rStyle w:val="defaultchar1"/>
          <w:rFonts w:hint="eastAsia"/>
          <w:sz w:val="22"/>
          <w:szCs w:val="22"/>
        </w:rPr>
      </w:pPr>
      <w:r>
        <w:rPr>
          <w:rStyle w:val="defaultchar1"/>
          <w:sz w:val="22"/>
          <w:szCs w:val="22"/>
        </w:rPr>
        <w:t>The references listed below are representative of the type of reading you will be expected to do as a MA</w:t>
      </w:r>
      <w:r>
        <w:rPr>
          <w:rStyle w:val="defaultchar1"/>
          <w:rFonts w:hint="eastAsia"/>
          <w:sz w:val="22"/>
          <w:szCs w:val="22"/>
        </w:rPr>
        <w:t>CINT s</w:t>
      </w:r>
      <w:r>
        <w:rPr>
          <w:rStyle w:val="defaultchar1"/>
          <w:sz w:val="22"/>
          <w:szCs w:val="22"/>
        </w:rPr>
        <w:t xml:space="preserve">tudent. Note that you will not be expected to be familiar with these works when you start the </w:t>
      </w:r>
      <w:proofErr w:type="spellStart"/>
      <w:r>
        <w:rPr>
          <w:rStyle w:val="defaultchar1"/>
          <w:sz w:val="22"/>
          <w:szCs w:val="22"/>
        </w:rPr>
        <w:t>programme</w:t>
      </w:r>
      <w:proofErr w:type="spellEnd"/>
      <w:r>
        <w:rPr>
          <w:rStyle w:val="defaultchar1"/>
          <w:sz w:val="22"/>
          <w:szCs w:val="22"/>
        </w:rPr>
        <w:t xml:space="preserve">. Preliminary reading is done on a purely voluntary basis. </w:t>
      </w:r>
    </w:p>
    <w:p w:rsidR="00B21BA0" w:rsidRDefault="00B21BA0" w:rsidP="00B21BA0">
      <w:pPr>
        <w:pStyle w:val="default"/>
      </w:pPr>
    </w:p>
    <w:p w:rsidR="00B21BA0" w:rsidRDefault="00B21BA0" w:rsidP="00B21BA0">
      <w:pPr>
        <w:pStyle w:val="default"/>
      </w:pPr>
      <w:r>
        <w:rPr>
          <w:rStyle w:val="defaultchar1"/>
          <w:sz w:val="22"/>
          <w:szCs w:val="22"/>
        </w:rPr>
        <w:t xml:space="preserve">The references for </w:t>
      </w:r>
      <w:r>
        <w:rPr>
          <w:rStyle w:val="defaultchar1"/>
          <w:rFonts w:hint="eastAsia"/>
          <w:sz w:val="22"/>
          <w:szCs w:val="22"/>
        </w:rPr>
        <w:t xml:space="preserve">theoretical </w:t>
      </w:r>
      <w:r>
        <w:rPr>
          <w:rStyle w:val="defaultchar1"/>
          <w:sz w:val="22"/>
          <w:szCs w:val="22"/>
        </w:rPr>
        <w:t xml:space="preserve">course units are particularly recommended for </w:t>
      </w:r>
      <w:r>
        <w:rPr>
          <w:rStyle w:val="defaultchar1"/>
          <w:b/>
          <w:bCs/>
          <w:sz w:val="22"/>
          <w:szCs w:val="22"/>
        </w:rPr>
        <w:t xml:space="preserve">students wishing to strengthen their knowledge of key theoretical issues in translation and interpreting studies </w:t>
      </w:r>
      <w:r>
        <w:rPr>
          <w:rStyle w:val="defaultchar1"/>
          <w:sz w:val="22"/>
          <w:szCs w:val="22"/>
        </w:rPr>
        <w:t xml:space="preserve">prior to the beginning of the course. </w:t>
      </w:r>
    </w:p>
    <w:p w:rsidR="00B21BA0" w:rsidRPr="00B21BA0" w:rsidRDefault="00B21BA0" w:rsidP="00B21BA0">
      <w:pPr>
        <w:pStyle w:val="default"/>
        <w:rPr>
          <w:rStyle w:val="defaultchar1"/>
          <w:rFonts w:hint="eastAsia"/>
          <w:sz w:val="22"/>
          <w:szCs w:val="22"/>
        </w:rPr>
      </w:pPr>
    </w:p>
    <w:p w:rsidR="00B21BA0" w:rsidRPr="00B21BA0" w:rsidRDefault="00B21BA0" w:rsidP="00B21BA0">
      <w:pPr>
        <w:pStyle w:val="default"/>
        <w:rPr>
          <w:rStyle w:val="defaultchar1"/>
          <w:rFonts w:hint="eastAsia"/>
          <w:b/>
          <w:sz w:val="22"/>
          <w:szCs w:val="22"/>
        </w:rPr>
      </w:pPr>
      <w:r w:rsidRPr="00B21BA0">
        <w:rPr>
          <w:rStyle w:val="defaultchar1"/>
          <w:rFonts w:hint="eastAsia"/>
          <w:b/>
          <w:sz w:val="22"/>
          <w:szCs w:val="22"/>
        </w:rPr>
        <w:t xml:space="preserve">Interpreting units </w:t>
      </w:r>
    </w:p>
    <w:p w:rsidR="00B21BA0" w:rsidRDefault="00B21BA0" w:rsidP="00B21BA0">
      <w:pPr>
        <w:pStyle w:val="default"/>
      </w:pPr>
      <w:proofErr w:type="spellStart"/>
      <w:r>
        <w:rPr>
          <w:rStyle w:val="defaultchar1"/>
          <w:sz w:val="22"/>
          <w:szCs w:val="22"/>
        </w:rPr>
        <w:t>Gile</w:t>
      </w:r>
      <w:proofErr w:type="spellEnd"/>
      <w:r>
        <w:rPr>
          <w:rStyle w:val="defaultchar1"/>
          <w:sz w:val="22"/>
          <w:szCs w:val="22"/>
        </w:rPr>
        <w:t xml:space="preserve">, Daniel (1997) </w:t>
      </w:r>
      <w:r>
        <w:rPr>
          <w:rStyle w:val="defaultchar1"/>
          <w:i/>
          <w:iCs/>
          <w:sz w:val="22"/>
          <w:szCs w:val="22"/>
        </w:rPr>
        <w:t>Basic Concepts and Models for Interpreter and Translator Training</w:t>
      </w:r>
      <w:r>
        <w:rPr>
          <w:rStyle w:val="defaultchar1"/>
          <w:sz w:val="22"/>
          <w:szCs w:val="22"/>
        </w:rPr>
        <w:t xml:space="preserve">, Amsterdam, Philadelphia: John </w:t>
      </w:r>
      <w:proofErr w:type="spellStart"/>
      <w:r>
        <w:rPr>
          <w:rStyle w:val="defaultchar1"/>
          <w:sz w:val="22"/>
          <w:szCs w:val="22"/>
        </w:rPr>
        <w:t>Benjamins</w:t>
      </w:r>
      <w:proofErr w:type="spellEnd"/>
      <w:r>
        <w:rPr>
          <w:rStyle w:val="defaultchar1"/>
          <w:sz w:val="22"/>
          <w:szCs w:val="22"/>
        </w:rPr>
        <w:t xml:space="preserve">. </w:t>
      </w:r>
    </w:p>
    <w:p w:rsidR="00B21BA0" w:rsidRDefault="00B21BA0" w:rsidP="00B21BA0">
      <w:pPr>
        <w:pStyle w:val="default"/>
      </w:pPr>
      <w:proofErr w:type="spellStart"/>
      <w:r>
        <w:rPr>
          <w:rStyle w:val="defaultchar1"/>
          <w:sz w:val="22"/>
          <w:szCs w:val="22"/>
        </w:rPr>
        <w:t>Gillies</w:t>
      </w:r>
      <w:proofErr w:type="spellEnd"/>
      <w:r>
        <w:rPr>
          <w:rStyle w:val="defaultchar1"/>
          <w:sz w:val="22"/>
          <w:szCs w:val="22"/>
        </w:rPr>
        <w:t xml:space="preserve">, Andrew (2005) </w:t>
      </w:r>
      <w:r>
        <w:rPr>
          <w:rStyle w:val="defaultchar1"/>
          <w:i/>
          <w:iCs/>
          <w:sz w:val="22"/>
          <w:szCs w:val="22"/>
        </w:rPr>
        <w:t>Note-taking for Consecutive Interpreting - A short course</w:t>
      </w:r>
      <w:r>
        <w:rPr>
          <w:rStyle w:val="defaultchar1"/>
          <w:sz w:val="22"/>
          <w:szCs w:val="22"/>
        </w:rPr>
        <w:t xml:space="preserve">, Translation Practices Explained 8, Manchester: St. Jerome Publishing. </w:t>
      </w:r>
    </w:p>
    <w:p w:rsidR="00B21BA0" w:rsidRDefault="00B21BA0" w:rsidP="00B21BA0">
      <w:pPr>
        <w:pStyle w:val="default"/>
        <w:rPr>
          <w:rStyle w:val="defaultchar1"/>
          <w:rFonts w:hint="eastAsia"/>
          <w:sz w:val="22"/>
          <w:szCs w:val="22"/>
        </w:rPr>
      </w:pPr>
      <w:r>
        <w:rPr>
          <w:rStyle w:val="defaultchar1"/>
          <w:sz w:val="22"/>
          <w:szCs w:val="22"/>
        </w:rPr>
        <w:t xml:space="preserve">Jones, Roderick (2002) </w:t>
      </w:r>
      <w:r>
        <w:rPr>
          <w:rStyle w:val="defaultchar1"/>
          <w:i/>
          <w:iCs/>
          <w:sz w:val="22"/>
          <w:szCs w:val="22"/>
        </w:rPr>
        <w:t>Conference Interpreting Explained</w:t>
      </w:r>
      <w:r>
        <w:rPr>
          <w:rStyle w:val="defaultchar1"/>
          <w:sz w:val="22"/>
          <w:szCs w:val="22"/>
        </w:rPr>
        <w:t>, Translation Practices Explained 6, Manchester: St. Jerome Publishing.</w:t>
      </w:r>
    </w:p>
    <w:p w:rsidR="00B21BA0" w:rsidRDefault="00B21BA0" w:rsidP="00B21BA0">
      <w:pPr>
        <w:pStyle w:val="default"/>
      </w:pPr>
    </w:p>
    <w:p w:rsidR="00B21BA0" w:rsidRDefault="00B21BA0" w:rsidP="00B21BA0">
      <w:pPr>
        <w:pStyle w:val="default"/>
      </w:pPr>
      <w:r>
        <w:rPr>
          <w:rStyle w:val="defaultchar1"/>
          <w:b/>
          <w:bCs/>
          <w:sz w:val="22"/>
          <w:szCs w:val="22"/>
        </w:rPr>
        <w:t>Theoretical</w:t>
      </w:r>
      <w:r>
        <w:rPr>
          <w:rStyle w:val="defaultchar1"/>
          <w:rFonts w:hint="eastAsia"/>
          <w:b/>
          <w:bCs/>
          <w:sz w:val="22"/>
          <w:szCs w:val="22"/>
        </w:rPr>
        <w:t xml:space="preserve"> units</w:t>
      </w:r>
    </w:p>
    <w:p w:rsidR="00B21BA0" w:rsidRDefault="00B21BA0" w:rsidP="00B21BA0">
      <w:pPr>
        <w:pStyle w:val="default"/>
        <w:rPr>
          <w:rStyle w:val="defaultchar1"/>
          <w:rFonts w:hint="eastAsia"/>
          <w:sz w:val="22"/>
          <w:szCs w:val="22"/>
        </w:rPr>
      </w:pPr>
      <w:r>
        <w:rPr>
          <w:rStyle w:val="defaultchar1"/>
          <w:sz w:val="22"/>
          <w:szCs w:val="22"/>
        </w:rPr>
        <w:t xml:space="preserve">Baker, Mona (2011) </w:t>
      </w:r>
      <w:r>
        <w:rPr>
          <w:rStyle w:val="defaultchar1"/>
          <w:i/>
          <w:iCs/>
          <w:sz w:val="22"/>
          <w:szCs w:val="22"/>
        </w:rPr>
        <w:t xml:space="preserve">In Other Words: A </w:t>
      </w:r>
      <w:proofErr w:type="spellStart"/>
      <w:r>
        <w:rPr>
          <w:rStyle w:val="defaultchar1"/>
          <w:i/>
          <w:iCs/>
          <w:sz w:val="22"/>
          <w:szCs w:val="22"/>
        </w:rPr>
        <w:t>coursebook</w:t>
      </w:r>
      <w:proofErr w:type="spellEnd"/>
      <w:r>
        <w:rPr>
          <w:rStyle w:val="defaultchar1"/>
          <w:i/>
          <w:iCs/>
          <w:sz w:val="22"/>
          <w:szCs w:val="22"/>
        </w:rPr>
        <w:t xml:space="preserve"> on translation, </w:t>
      </w:r>
      <w:proofErr w:type="spellStart"/>
      <w:r>
        <w:rPr>
          <w:rStyle w:val="defaultchar1"/>
          <w:sz w:val="22"/>
          <w:szCs w:val="22"/>
        </w:rPr>
        <w:t>Routledge</w:t>
      </w:r>
      <w:proofErr w:type="spellEnd"/>
      <w:r>
        <w:rPr>
          <w:rStyle w:val="defaultchar1"/>
          <w:sz w:val="22"/>
          <w:szCs w:val="22"/>
        </w:rPr>
        <w:t>, 2</w:t>
      </w:r>
      <w:r>
        <w:rPr>
          <w:rStyle w:val="defaultchar1"/>
          <w:sz w:val="14"/>
          <w:szCs w:val="14"/>
        </w:rPr>
        <w:t xml:space="preserve">nd </w:t>
      </w:r>
      <w:r>
        <w:rPr>
          <w:rStyle w:val="defaultchar1"/>
          <w:sz w:val="22"/>
          <w:szCs w:val="22"/>
        </w:rPr>
        <w:t xml:space="preserve">edition. </w:t>
      </w:r>
    </w:p>
    <w:p w:rsidR="00A70A5A" w:rsidRPr="00A70A5A" w:rsidRDefault="00A70A5A" w:rsidP="00A70A5A">
      <w:pPr>
        <w:autoSpaceDE w:val="0"/>
        <w:autoSpaceDN w:val="0"/>
        <w:adjustRightInd w:val="0"/>
        <w:jc w:val="left"/>
        <w:rPr>
          <w:rFonts w:ascii="Calibri" w:hAnsi="Calibri" w:cs="Calibri"/>
          <w:i/>
          <w:iCs/>
          <w:kern w:val="0"/>
          <w:sz w:val="24"/>
          <w:szCs w:val="24"/>
        </w:rPr>
      </w:pPr>
      <w:r>
        <w:rPr>
          <w:rFonts w:ascii="Calibri" w:hAnsi="Calibri" w:cs="Calibri"/>
          <w:kern w:val="0"/>
          <w:sz w:val="24"/>
          <w:szCs w:val="24"/>
        </w:rPr>
        <w:t xml:space="preserve">Baker, Mona and Gabriela </w:t>
      </w:r>
      <w:proofErr w:type="spellStart"/>
      <w:r>
        <w:rPr>
          <w:rFonts w:ascii="Calibri" w:hAnsi="Calibri" w:cs="Calibri"/>
          <w:kern w:val="0"/>
          <w:sz w:val="24"/>
          <w:szCs w:val="24"/>
        </w:rPr>
        <w:t>Saldanha</w:t>
      </w:r>
      <w:proofErr w:type="spellEnd"/>
      <w:r>
        <w:rPr>
          <w:rFonts w:ascii="Calibri" w:hAnsi="Calibri" w:cs="Calibri"/>
          <w:kern w:val="0"/>
          <w:sz w:val="24"/>
          <w:szCs w:val="24"/>
        </w:rPr>
        <w:t xml:space="preserve"> (2009) </w:t>
      </w:r>
      <w:proofErr w:type="spellStart"/>
      <w:r>
        <w:rPr>
          <w:rFonts w:ascii="Calibri" w:hAnsi="Calibri" w:cs="Calibri"/>
          <w:i/>
          <w:iCs/>
          <w:kern w:val="0"/>
          <w:sz w:val="24"/>
          <w:szCs w:val="24"/>
        </w:rPr>
        <w:t>Routledge</w:t>
      </w:r>
      <w:proofErr w:type="spellEnd"/>
      <w:r>
        <w:rPr>
          <w:rFonts w:ascii="Calibri" w:hAnsi="Calibri" w:cs="Calibri"/>
          <w:i/>
          <w:iCs/>
          <w:kern w:val="0"/>
          <w:sz w:val="24"/>
          <w:szCs w:val="24"/>
        </w:rPr>
        <w:t xml:space="preserve"> Encyclopedia of Translation</w:t>
      </w:r>
      <w:r>
        <w:rPr>
          <w:rFonts w:ascii="Calibri" w:hAnsi="Calibri" w:cs="Calibri" w:hint="eastAsia"/>
          <w:i/>
          <w:iCs/>
          <w:kern w:val="0"/>
          <w:sz w:val="24"/>
          <w:szCs w:val="24"/>
        </w:rPr>
        <w:t xml:space="preserve"> </w:t>
      </w:r>
      <w:r>
        <w:rPr>
          <w:rFonts w:ascii="Calibri" w:hAnsi="Calibri" w:cs="Calibri"/>
          <w:i/>
          <w:iCs/>
          <w:kern w:val="0"/>
          <w:sz w:val="24"/>
          <w:szCs w:val="24"/>
        </w:rPr>
        <w:t>Studies</w:t>
      </w:r>
      <w:r>
        <w:rPr>
          <w:rFonts w:ascii="Calibri" w:hAnsi="Calibri" w:cs="Calibri"/>
          <w:kern w:val="0"/>
          <w:sz w:val="24"/>
          <w:szCs w:val="24"/>
        </w:rPr>
        <w:t xml:space="preserve">, London and New York: </w:t>
      </w:r>
      <w:proofErr w:type="spellStart"/>
      <w:r>
        <w:rPr>
          <w:rFonts w:ascii="Calibri" w:hAnsi="Calibri" w:cs="Calibri"/>
          <w:kern w:val="0"/>
          <w:sz w:val="24"/>
          <w:szCs w:val="24"/>
        </w:rPr>
        <w:t>Routledge</w:t>
      </w:r>
      <w:proofErr w:type="spellEnd"/>
      <w:r>
        <w:rPr>
          <w:rFonts w:ascii="Calibri" w:hAnsi="Calibri" w:cs="Calibri"/>
          <w:kern w:val="0"/>
          <w:sz w:val="24"/>
          <w:szCs w:val="24"/>
        </w:rPr>
        <w:t>.</w:t>
      </w:r>
    </w:p>
    <w:p w:rsidR="00A70A5A" w:rsidRPr="00A70A5A" w:rsidRDefault="00A70A5A" w:rsidP="00A70A5A">
      <w:pPr>
        <w:autoSpaceDE w:val="0"/>
        <w:autoSpaceDN w:val="0"/>
        <w:adjustRightInd w:val="0"/>
        <w:jc w:val="left"/>
        <w:rPr>
          <w:rFonts w:ascii="Calibri" w:hAnsi="Calibri" w:cs="Calibri"/>
          <w:i/>
          <w:iCs/>
          <w:kern w:val="0"/>
          <w:sz w:val="24"/>
          <w:szCs w:val="24"/>
        </w:rPr>
      </w:pPr>
      <w:proofErr w:type="spellStart"/>
      <w:r>
        <w:rPr>
          <w:rFonts w:ascii="Calibri" w:hAnsi="Calibri" w:cs="Calibri"/>
          <w:kern w:val="0"/>
          <w:sz w:val="24"/>
          <w:szCs w:val="24"/>
        </w:rPr>
        <w:t>Pöchhacker</w:t>
      </w:r>
      <w:proofErr w:type="spellEnd"/>
      <w:r>
        <w:rPr>
          <w:rFonts w:ascii="Calibri" w:hAnsi="Calibri" w:cs="Calibri"/>
          <w:kern w:val="0"/>
          <w:sz w:val="24"/>
          <w:szCs w:val="24"/>
        </w:rPr>
        <w:t xml:space="preserve">, Franz and Miriam </w:t>
      </w:r>
      <w:proofErr w:type="spellStart"/>
      <w:r>
        <w:rPr>
          <w:rFonts w:ascii="Calibri" w:hAnsi="Calibri" w:cs="Calibri"/>
          <w:kern w:val="0"/>
          <w:sz w:val="24"/>
          <w:szCs w:val="24"/>
        </w:rPr>
        <w:t>Shlesinger</w:t>
      </w:r>
      <w:proofErr w:type="spellEnd"/>
      <w:r>
        <w:rPr>
          <w:rFonts w:ascii="Calibri" w:hAnsi="Calibri" w:cs="Calibri"/>
          <w:kern w:val="0"/>
          <w:sz w:val="24"/>
          <w:szCs w:val="24"/>
        </w:rPr>
        <w:t xml:space="preserve"> (</w:t>
      </w:r>
      <w:proofErr w:type="spellStart"/>
      <w:proofErr w:type="gramStart"/>
      <w:r>
        <w:rPr>
          <w:rFonts w:ascii="Calibri" w:hAnsi="Calibri" w:cs="Calibri"/>
          <w:kern w:val="0"/>
          <w:sz w:val="24"/>
          <w:szCs w:val="24"/>
        </w:rPr>
        <w:t>eds</w:t>
      </w:r>
      <w:proofErr w:type="spellEnd"/>
      <w:proofErr w:type="gramEnd"/>
      <w:r>
        <w:rPr>
          <w:rFonts w:ascii="Calibri" w:hAnsi="Calibri" w:cs="Calibri"/>
          <w:kern w:val="0"/>
          <w:sz w:val="24"/>
          <w:szCs w:val="24"/>
        </w:rPr>
        <w:t xml:space="preserve">) (2002) </w:t>
      </w:r>
      <w:r>
        <w:rPr>
          <w:rFonts w:ascii="Calibri" w:hAnsi="Calibri" w:cs="Calibri"/>
          <w:i/>
          <w:iCs/>
          <w:kern w:val="0"/>
          <w:sz w:val="24"/>
          <w:szCs w:val="24"/>
        </w:rPr>
        <w:t>The Interpreting Studies</w:t>
      </w:r>
      <w:r>
        <w:rPr>
          <w:rFonts w:ascii="Calibri" w:hAnsi="Calibri" w:cs="Calibri" w:hint="eastAsia"/>
          <w:i/>
          <w:iCs/>
          <w:kern w:val="0"/>
          <w:sz w:val="24"/>
          <w:szCs w:val="24"/>
        </w:rPr>
        <w:t xml:space="preserve"> </w:t>
      </w:r>
      <w:r>
        <w:rPr>
          <w:rFonts w:ascii="Calibri" w:hAnsi="Calibri" w:cs="Calibri"/>
          <w:i/>
          <w:iCs/>
          <w:kern w:val="0"/>
          <w:sz w:val="24"/>
          <w:szCs w:val="24"/>
        </w:rPr>
        <w:t>Reader</w:t>
      </w:r>
      <w:r>
        <w:rPr>
          <w:rFonts w:ascii="Calibri" w:hAnsi="Calibri" w:cs="Calibri"/>
          <w:kern w:val="0"/>
          <w:sz w:val="24"/>
          <w:szCs w:val="24"/>
        </w:rPr>
        <w:t xml:space="preserve">, London and New York: </w:t>
      </w:r>
      <w:proofErr w:type="spellStart"/>
      <w:r>
        <w:rPr>
          <w:rFonts w:ascii="Calibri" w:hAnsi="Calibri" w:cs="Calibri"/>
          <w:kern w:val="0"/>
          <w:sz w:val="24"/>
          <w:szCs w:val="24"/>
        </w:rPr>
        <w:t>Routledge</w:t>
      </w:r>
      <w:proofErr w:type="spellEnd"/>
      <w:r>
        <w:rPr>
          <w:rFonts w:ascii="Calibri" w:hAnsi="Calibri" w:cs="Calibri"/>
          <w:kern w:val="0"/>
          <w:sz w:val="24"/>
          <w:szCs w:val="24"/>
        </w:rPr>
        <w:t>.</w:t>
      </w:r>
    </w:p>
    <w:p w:rsidR="00A70A5A" w:rsidRDefault="00A70A5A" w:rsidP="00A70A5A">
      <w:pPr>
        <w:autoSpaceDE w:val="0"/>
        <w:autoSpaceDN w:val="0"/>
        <w:adjustRightInd w:val="0"/>
        <w:jc w:val="left"/>
        <w:rPr>
          <w:rFonts w:ascii="Calibri" w:hAnsi="Calibri" w:cs="Calibri"/>
          <w:kern w:val="0"/>
          <w:sz w:val="24"/>
          <w:szCs w:val="24"/>
        </w:rPr>
      </w:pPr>
      <w:proofErr w:type="spellStart"/>
      <w:r>
        <w:rPr>
          <w:rFonts w:ascii="Calibri" w:hAnsi="Calibri" w:cs="Calibri"/>
          <w:kern w:val="0"/>
          <w:sz w:val="24"/>
          <w:szCs w:val="24"/>
        </w:rPr>
        <w:t>Pöchhacker</w:t>
      </w:r>
      <w:proofErr w:type="spellEnd"/>
      <w:r>
        <w:rPr>
          <w:rFonts w:ascii="Calibri" w:hAnsi="Calibri" w:cs="Calibri"/>
          <w:kern w:val="0"/>
          <w:sz w:val="24"/>
          <w:szCs w:val="24"/>
        </w:rPr>
        <w:t xml:space="preserve">, Franz (2004) </w:t>
      </w:r>
      <w:r>
        <w:rPr>
          <w:rFonts w:ascii="Calibri" w:hAnsi="Calibri" w:cs="Calibri"/>
          <w:i/>
          <w:iCs/>
          <w:kern w:val="0"/>
          <w:sz w:val="24"/>
          <w:szCs w:val="24"/>
        </w:rPr>
        <w:t>Introducing Interpreting Studies</w:t>
      </w:r>
      <w:r>
        <w:rPr>
          <w:rFonts w:ascii="Calibri" w:hAnsi="Calibri" w:cs="Calibri"/>
          <w:kern w:val="0"/>
          <w:sz w:val="24"/>
          <w:szCs w:val="24"/>
        </w:rPr>
        <w:t>, London and New York:</w:t>
      </w:r>
    </w:p>
    <w:p w:rsidR="00A70A5A" w:rsidRPr="00A70A5A" w:rsidRDefault="00A70A5A" w:rsidP="00A70A5A">
      <w:pPr>
        <w:autoSpaceDE w:val="0"/>
        <w:autoSpaceDN w:val="0"/>
        <w:adjustRightInd w:val="0"/>
        <w:jc w:val="left"/>
        <w:rPr>
          <w:rFonts w:ascii="Calibri" w:hAnsi="Calibri" w:cs="Calibri"/>
          <w:kern w:val="0"/>
          <w:sz w:val="24"/>
          <w:szCs w:val="24"/>
        </w:rPr>
      </w:pPr>
      <w:proofErr w:type="spellStart"/>
      <w:proofErr w:type="gramStart"/>
      <w:r>
        <w:rPr>
          <w:rFonts w:ascii="Calibri" w:hAnsi="Calibri" w:cs="Calibri"/>
          <w:kern w:val="0"/>
          <w:sz w:val="24"/>
          <w:szCs w:val="24"/>
        </w:rPr>
        <w:t>Routledge</w:t>
      </w:r>
      <w:proofErr w:type="spellEnd"/>
      <w:r>
        <w:rPr>
          <w:rFonts w:ascii="Calibri" w:hAnsi="Calibri" w:cs="Calibri"/>
          <w:kern w:val="0"/>
          <w:sz w:val="24"/>
          <w:szCs w:val="24"/>
        </w:rPr>
        <w:t>.</w:t>
      </w:r>
      <w:proofErr w:type="gramEnd"/>
    </w:p>
    <w:p w:rsidR="00B21BA0" w:rsidRDefault="00B21BA0" w:rsidP="00B21BA0">
      <w:pPr>
        <w:pStyle w:val="default"/>
      </w:pPr>
      <w:proofErr w:type="spellStart"/>
      <w:r>
        <w:rPr>
          <w:rStyle w:val="defaultchar1"/>
          <w:sz w:val="22"/>
          <w:szCs w:val="22"/>
        </w:rPr>
        <w:t>Hatim</w:t>
      </w:r>
      <w:proofErr w:type="spellEnd"/>
      <w:r>
        <w:rPr>
          <w:rStyle w:val="defaultchar1"/>
          <w:sz w:val="22"/>
          <w:szCs w:val="22"/>
        </w:rPr>
        <w:t xml:space="preserve">, Basil and Ian Mason (1990) </w:t>
      </w:r>
      <w:r>
        <w:rPr>
          <w:rStyle w:val="defaultchar1"/>
          <w:i/>
          <w:iCs/>
          <w:sz w:val="22"/>
          <w:szCs w:val="22"/>
        </w:rPr>
        <w:t>Discourse and the Translator</w:t>
      </w:r>
      <w:r>
        <w:rPr>
          <w:rStyle w:val="defaultchar1"/>
          <w:sz w:val="22"/>
          <w:szCs w:val="22"/>
        </w:rPr>
        <w:t xml:space="preserve">, London: Longman. </w:t>
      </w:r>
    </w:p>
    <w:p w:rsidR="00B21BA0" w:rsidRDefault="00B21BA0" w:rsidP="00B21BA0">
      <w:pPr>
        <w:pStyle w:val="default"/>
      </w:pPr>
      <w:proofErr w:type="spellStart"/>
      <w:r>
        <w:rPr>
          <w:rStyle w:val="defaultchar1"/>
          <w:sz w:val="22"/>
          <w:szCs w:val="22"/>
        </w:rPr>
        <w:t>Hatim</w:t>
      </w:r>
      <w:proofErr w:type="spellEnd"/>
      <w:r>
        <w:rPr>
          <w:rStyle w:val="defaultchar1"/>
          <w:sz w:val="22"/>
          <w:szCs w:val="22"/>
        </w:rPr>
        <w:t xml:space="preserve">, Basil and Ian Mason (1997) </w:t>
      </w:r>
      <w:proofErr w:type="gramStart"/>
      <w:r>
        <w:rPr>
          <w:rStyle w:val="defaultchar1"/>
          <w:i/>
          <w:iCs/>
          <w:sz w:val="22"/>
          <w:szCs w:val="22"/>
        </w:rPr>
        <w:t>The</w:t>
      </w:r>
      <w:proofErr w:type="gramEnd"/>
      <w:r>
        <w:rPr>
          <w:rStyle w:val="defaultchar1"/>
          <w:i/>
          <w:iCs/>
          <w:sz w:val="22"/>
          <w:szCs w:val="22"/>
        </w:rPr>
        <w:t xml:space="preserve"> Translator as Communicator</w:t>
      </w:r>
      <w:r>
        <w:rPr>
          <w:rStyle w:val="defaultchar1"/>
          <w:sz w:val="22"/>
          <w:szCs w:val="22"/>
        </w:rPr>
        <w:t xml:space="preserve">, London &amp; New York: </w:t>
      </w:r>
      <w:proofErr w:type="spellStart"/>
      <w:r>
        <w:rPr>
          <w:rStyle w:val="defaultchar1"/>
          <w:sz w:val="22"/>
          <w:szCs w:val="22"/>
        </w:rPr>
        <w:t>Routledge</w:t>
      </w:r>
      <w:proofErr w:type="spellEnd"/>
      <w:r>
        <w:rPr>
          <w:rStyle w:val="defaultchar1"/>
          <w:sz w:val="22"/>
          <w:szCs w:val="22"/>
        </w:rPr>
        <w:t xml:space="preserve">. </w:t>
      </w:r>
    </w:p>
    <w:p w:rsidR="00B21BA0" w:rsidRDefault="00B21BA0" w:rsidP="00B21BA0">
      <w:pPr>
        <w:pStyle w:val="default"/>
      </w:pPr>
      <w:r>
        <w:rPr>
          <w:rStyle w:val="defaultchar1"/>
          <w:sz w:val="22"/>
          <w:szCs w:val="22"/>
        </w:rPr>
        <w:t xml:space="preserve">Williams, Jenny and Andrew </w:t>
      </w:r>
      <w:proofErr w:type="spellStart"/>
      <w:r>
        <w:rPr>
          <w:rStyle w:val="defaultchar1"/>
          <w:sz w:val="22"/>
          <w:szCs w:val="22"/>
        </w:rPr>
        <w:t>Chesterman</w:t>
      </w:r>
      <w:proofErr w:type="spellEnd"/>
      <w:r>
        <w:rPr>
          <w:rStyle w:val="defaultchar1"/>
          <w:sz w:val="22"/>
          <w:szCs w:val="22"/>
        </w:rPr>
        <w:t xml:space="preserve"> (2002) </w:t>
      </w:r>
      <w:proofErr w:type="gramStart"/>
      <w:r>
        <w:rPr>
          <w:rStyle w:val="defaultchar1"/>
          <w:i/>
          <w:iCs/>
          <w:sz w:val="22"/>
          <w:szCs w:val="22"/>
        </w:rPr>
        <w:t>The</w:t>
      </w:r>
      <w:proofErr w:type="gramEnd"/>
      <w:r>
        <w:rPr>
          <w:rStyle w:val="defaultchar1"/>
          <w:i/>
          <w:iCs/>
          <w:sz w:val="22"/>
          <w:szCs w:val="22"/>
        </w:rPr>
        <w:t xml:space="preserve"> Map. </w:t>
      </w:r>
      <w:proofErr w:type="gramStart"/>
      <w:r>
        <w:rPr>
          <w:rStyle w:val="defaultchar1"/>
          <w:i/>
          <w:iCs/>
          <w:sz w:val="22"/>
          <w:szCs w:val="22"/>
        </w:rPr>
        <w:t>A beginner's guide to doing research in translation studies</w:t>
      </w:r>
      <w:r>
        <w:rPr>
          <w:rStyle w:val="defaultchar1"/>
          <w:sz w:val="22"/>
          <w:szCs w:val="22"/>
        </w:rPr>
        <w:t>.</w:t>
      </w:r>
      <w:proofErr w:type="gramEnd"/>
      <w:r>
        <w:rPr>
          <w:rStyle w:val="defaultchar1"/>
          <w:sz w:val="22"/>
          <w:szCs w:val="22"/>
        </w:rPr>
        <w:t xml:space="preserve"> Manchester: St Jerome Publishing. </w:t>
      </w:r>
    </w:p>
    <w:p w:rsidR="00B21BA0" w:rsidRDefault="00B21BA0" w:rsidP="00B21BA0">
      <w:pPr>
        <w:pStyle w:val="default"/>
      </w:pPr>
      <w:r>
        <w:t> </w:t>
      </w:r>
    </w:p>
    <w:sectPr w:rsidR="00B21BA0" w:rsidSect="00891B1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B21BA0"/>
    <w:rsid w:val="00891B10"/>
    <w:rsid w:val="00A70A5A"/>
    <w:rsid w:val="00B21BA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1B1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basedOn w:val="a"/>
    <w:rsid w:val="00B21BA0"/>
    <w:pPr>
      <w:widowControl/>
      <w:spacing w:line="240" w:lineRule="atLeast"/>
      <w:jc w:val="left"/>
    </w:pPr>
    <w:rPr>
      <w:rFonts w:ascii="Calibri" w:eastAsia="宋体" w:hAnsi="Calibri" w:cs="宋体"/>
      <w:kern w:val="0"/>
      <w:sz w:val="24"/>
      <w:szCs w:val="24"/>
    </w:rPr>
  </w:style>
  <w:style w:type="character" w:customStyle="1" w:styleId="defaultchar1">
    <w:name w:val="default__char1"/>
    <w:basedOn w:val="a0"/>
    <w:rsid w:val="00B21BA0"/>
    <w:rPr>
      <w:rFonts w:ascii="Calibri" w:hAnsi="Calibri" w:hint="default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62602257">
      <w:bodyDiv w:val="1"/>
      <w:marLeft w:val="1440"/>
      <w:marRight w:val="1440"/>
      <w:marTop w:val="1440"/>
      <w:marBottom w:val="144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50723">
      <w:bodyDiv w:val="1"/>
      <w:marLeft w:val="1440"/>
      <w:marRight w:val="1440"/>
      <w:marTop w:val="1440"/>
      <w:marBottom w:val="144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985352">
      <w:bodyDiv w:val="1"/>
      <w:marLeft w:val="1440"/>
      <w:marRight w:val="1440"/>
      <w:marTop w:val="1440"/>
      <w:marBottom w:val="144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109965">
      <w:bodyDiv w:val="1"/>
      <w:marLeft w:val="1440"/>
      <w:marRight w:val="1440"/>
      <w:marTop w:val="1440"/>
      <w:marBottom w:val="144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268</Words>
  <Characters>1530</Characters>
  <Application>Microsoft Office Word</Application>
  <DocSecurity>0</DocSecurity>
  <Lines>12</Lines>
  <Paragraphs>3</Paragraphs>
  <ScaleCrop>false</ScaleCrop>
  <Company>微软中国</Company>
  <LinksUpToDate>false</LinksUpToDate>
  <CharactersWithSpaces>1795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微软用户</cp:lastModifiedBy>
  <cp:revision>2</cp:revision>
  <dcterms:created xsi:type="dcterms:W3CDTF">2013-08-16T09:54:00Z</dcterms:created>
  <dcterms:modified xsi:type="dcterms:W3CDTF">2013-08-16T10:08:00Z</dcterms:modified>
</cp:coreProperties>
</file>