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474A1" w:rsidRPr="00B05180" w:rsidRDefault="009474A1">
      <w:pPr>
        <w:rPr>
          <w:rFonts w:asciiTheme="majorHAnsi" w:hAnsiTheme="majorHAnsi"/>
          <w:b/>
          <w:sz w:val="22"/>
        </w:rPr>
      </w:pPr>
      <w:r w:rsidRPr="00B05180">
        <w:rPr>
          <w:rFonts w:asciiTheme="majorHAnsi" w:hAnsiTheme="majorHAnsi"/>
          <w:b/>
          <w:sz w:val="22"/>
        </w:rPr>
        <w:t>Cover letter to UREC</w:t>
      </w:r>
    </w:p>
    <w:p w:rsidR="009474A1" w:rsidRPr="00B05180" w:rsidRDefault="009474A1">
      <w:pPr>
        <w:rPr>
          <w:rFonts w:asciiTheme="majorHAnsi" w:hAnsiTheme="majorHAnsi"/>
          <w:sz w:val="22"/>
        </w:rPr>
      </w:pPr>
    </w:p>
    <w:p w:rsidR="009474A1" w:rsidRPr="00B05180" w:rsidRDefault="009474A1">
      <w:pPr>
        <w:rPr>
          <w:rFonts w:asciiTheme="majorHAnsi" w:hAnsiTheme="majorHAnsi"/>
          <w:b/>
          <w:sz w:val="22"/>
        </w:rPr>
      </w:pPr>
      <w:r w:rsidRPr="00B05180">
        <w:rPr>
          <w:rFonts w:asciiTheme="majorHAnsi" w:hAnsiTheme="majorHAnsi"/>
          <w:b/>
          <w:sz w:val="22"/>
        </w:rPr>
        <w:t>Proposal for procedures for research ethics in the School of Arts, Languages and Cultures (SALC)</w:t>
      </w:r>
      <w:r w:rsidR="00B05180" w:rsidRPr="00B05180">
        <w:rPr>
          <w:rFonts w:asciiTheme="majorHAnsi" w:hAnsiTheme="majorHAnsi"/>
          <w:b/>
          <w:sz w:val="22"/>
        </w:rPr>
        <w:t xml:space="preserve">, Faculty of Humanities </w:t>
      </w:r>
    </w:p>
    <w:p w:rsidR="009474A1" w:rsidRPr="00B05180" w:rsidRDefault="009474A1">
      <w:pPr>
        <w:rPr>
          <w:rFonts w:asciiTheme="majorHAnsi" w:hAnsiTheme="majorHAnsi"/>
          <w:sz w:val="22"/>
        </w:rPr>
      </w:pPr>
    </w:p>
    <w:p w:rsidR="009474A1" w:rsidRPr="00B05180" w:rsidRDefault="009474A1">
      <w:p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 xml:space="preserve">Please find attached a series of documents outlining </w:t>
      </w:r>
      <w:proofErr w:type="spellStart"/>
      <w:r w:rsidRPr="00B05180">
        <w:rPr>
          <w:rFonts w:asciiTheme="majorHAnsi" w:hAnsiTheme="majorHAnsi"/>
          <w:sz w:val="22"/>
        </w:rPr>
        <w:t>SALC’s</w:t>
      </w:r>
      <w:proofErr w:type="spellEnd"/>
      <w:r w:rsidRPr="00B05180">
        <w:rPr>
          <w:rFonts w:asciiTheme="majorHAnsi" w:hAnsiTheme="majorHAnsi"/>
          <w:sz w:val="22"/>
        </w:rPr>
        <w:t xml:space="preserve"> </w:t>
      </w:r>
      <w:r w:rsidR="00206E9D" w:rsidRPr="00B05180">
        <w:rPr>
          <w:rFonts w:asciiTheme="majorHAnsi" w:hAnsiTheme="majorHAnsi"/>
          <w:sz w:val="22"/>
        </w:rPr>
        <w:t xml:space="preserve">proposed </w:t>
      </w:r>
      <w:r w:rsidRPr="00B05180">
        <w:rPr>
          <w:rFonts w:asciiTheme="majorHAnsi" w:hAnsiTheme="majorHAnsi"/>
          <w:sz w:val="22"/>
        </w:rPr>
        <w:t>procedures for research ethics:</w:t>
      </w:r>
    </w:p>
    <w:p w:rsidR="009474A1" w:rsidRPr="00B05180" w:rsidRDefault="009474A1">
      <w:pPr>
        <w:rPr>
          <w:rFonts w:asciiTheme="majorHAnsi" w:hAnsiTheme="majorHAnsi"/>
          <w:sz w:val="22"/>
        </w:rPr>
      </w:pPr>
    </w:p>
    <w:p w:rsidR="009474A1" w:rsidRPr="00B05180" w:rsidRDefault="009474A1" w:rsidP="00946208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 xml:space="preserve">SALC </w:t>
      </w:r>
      <w:r w:rsidR="00331441" w:rsidRPr="00B05180">
        <w:rPr>
          <w:rFonts w:asciiTheme="majorHAnsi" w:hAnsiTheme="majorHAnsi"/>
          <w:sz w:val="22"/>
        </w:rPr>
        <w:t>Research E</w:t>
      </w:r>
      <w:r w:rsidRPr="00B05180">
        <w:rPr>
          <w:rFonts w:asciiTheme="majorHAnsi" w:hAnsiTheme="majorHAnsi"/>
          <w:sz w:val="22"/>
        </w:rPr>
        <w:t>thics policy</w:t>
      </w:r>
    </w:p>
    <w:p w:rsidR="009474A1" w:rsidRPr="00B05180" w:rsidRDefault="001E0CAE" w:rsidP="00946208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>Overview of process and useful links</w:t>
      </w:r>
    </w:p>
    <w:p w:rsidR="009474A1" w:rsidRPr="00B05180" w:rsidRDefault="009474A1" w:rsidP="00946208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>Declaration form</w:t>
      </w:r>
      <w:r w:rsidR="009F4C76" w:rsidRPr="00B05180">
        <w:rPr>
          <w:rFonts w:asciiTheme="majorHAnsi" w:hAnsiTheme="majorHAnsi"/>
          <w:sz w:val="22"/>
        </w:rPr>
        <w:t xml:space="preserve"> for initial screening</w:t>
      </w:r>
    </w:p>
    <w:p w:rsidR="001E0CAE" w:rsidRPr="00B05180" w:rsidRDefault="00DB7895" w:rsidP="00946208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>G</w:t>
      </w:r>
      <w:r w:rsidR="00580740" w:rsidRPr="00B05180">
        <w:rPr>
          <w:rFonts w:asciiTheme="majorHAnsi" w:hAnsiTheme="majorHAnsi"/>
          <w:sz w:val="22"/>
        </w:rPr>
        <w:t>uidance on assessing risk in relation to research ethics</w:t>
      </w:r>
    </w:p>
    <w:p w:rsidR="004F4E39" w:rsidRPr="00B05180" w:rsidRDefault="001E0CAE" w:rsidP="00946208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>SALC Research Ethics Template</w:t>
      </w:r>
    </w:p>
    <w:p w:rsidR="00DB7895" w:rsidRPr="00B05180" w:rsidRDefault="004F4E39" w:rsidP="00946208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>Frequently asked questions</w:t>
      </w:r>
    </w:p>
    <w:p w:rsidR="00B05180" w:rsidRPr="00B05180" w:rsidRDefault="00B05180" w:rsidP="00946208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 xml:space="preserve">Generic </w:t>
      </w:r>
      <w:r w:rsidR="00DB7895" w:rsidRPr="00B05180">
        <w:rPr>
          <w:rFonts w:asciiTheme="majorHAnsi" w:hAnsiTheme="majorHAnsi"/>
          <w:sz w:val="22"/>
        </w:rPr>
        <w:t xml:space="preserve">Risk assessment </w:t>
      </w:r>
      <w:r w:rsidRPr="00B05180">
        <w:rPr>
          <w:rFonts w:asciiTheme="majorHAnsi" w:hAnsiTheme="majorHAnsi"/>
          <w:sz w:val="22"/>
        </w:rPr>
        <w:t>for off-site research in the UK</w:t>
      </w:r>
    </w:p>
    <w:p w:rsidR="009474A1" w:rsidRPr="00B05180" w:rsidRDefault="00B05180" w:rsidP="00946208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>Generic Risk assessment for off-site research in low risk international settings</w:t>
      </w:r>
    </w:p>
    <w:p w:rsidR="009474A1" w:rsidRPr="00B05180" w:rsidRDefault="00B05180" w:rsidP="00946208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 xml:space="preserve">Outline of </w:t>
      </w:r>
      <w:r w:rsidR="008C2DC9" w:rsidRPr="00B05180">
        <w:rPr>
          <w:rFonts w:asciiTheme="majorHAnsi" w:hAnsiTheme="majorHAnsi"/>
          <w:sz w:val="22"/>
        </w:rPr>
        <w:t>Research Ethics training for staff and postgraduates</w:t>
      </w:r>
    </w:p>
    <w:p w:rsidR="009474A1" w:rsidRPr="00B05180" w:rsidRDefault="009474A1">
      <w:pPr>
        <w:rPr>
          <w:rFonts w:asciiTheme="majorHAnsi" w:hAnsiTheme="majorHAnsi"/>
          <w:sz w:val="22"/>
        </w:rPr>
      </w:pPr>
    </w:p>
    <w:p w:rsidR="009474A1" w:rsidRPr="00B05180" w:rsidRDefault="009474A1">
      <w:p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 xml:space="preserve">Recent University guidance (‘Research Ethics, Integrity and Risk Analysis – outline of University and School level requirements and procedures’) advises that Ethics Templates can be used for generic approval of </w:t>
      </w:r>
      <w:r w:rsidR="009F4C76" w:rsidRPr="00B05180">
        <w:rPr>
          <w:rFonts w:asciiTheme="majorHAnsi" w:hAnsiTheme="majorHAnsi"/>
          <w:sz w:val="22"/>
        </w:rPr>
        <w:t>research projects</w:t>
      </w:r>
      <w:r w:rsidRPr="00B05180">
        <w:rPr>
          <w:rFonts w:asciiTheme="majorHAnsi" w:hAnsiTheme="majorHAnsi"/>
          <w:sz w:val="22"/>
        </w:rPr>
        <w:t xml:space="preserve"> falling within the template specification. The </w:t>
      </w:r>
      <w:r w:rsidR="00B05180" w:rsidRPr="00B05180">
        <w:rPr>
          <w:rFonts w:asciiTheme="majorHAnsi" w:hAnsiTheme="majorHAnsi"/>
          <w:sz w:val="22"/>
        </w:rPr>
        <w:t>guidance requires</w:t>
      </w:r>
      <w:r w:rsidRPr="00B05180">
        <w:rPr>
          <w:rFonts w:asciiTheme="majorHAnsi" w:hAnsiTheme="majorHAnsi"/>
          <w:sz w:val="22"/>
        </w:rPr>
        <w:t xml:space="preserve"> that detail be provided that covers (</w:t>
      </w:r>
      <w:proofErr w:type="spellStart"/>
      <w:r w:rsidRPr="00B05180">
        <w:rPr>
          <w:rFonts w:asciiTheme="majorHAnsi" w:hAnsiTheme="majorHAnsi"/>
          <w:sz w:val="22"/>
        </w:rPr>
        <w:t>i</w:t>
      </w:r>
      <w:proofErr w:type="spellEnd"/>
      <w:r w:rsidRPr="00B05180">
        <w:rPr>
          <w:rFonts w:asciiTheme="majorHAnsi" w:hAnsiTheme="majorHAnsi"/>
          <w:sz w:val="22"/>
        </w:rPr>
        <w:t xml:space="preserve">) the general area of research, (ii) the population to be studied and the recruitment procedure(s), (iii) the types </w:t>
      </w:r>
      <w:r w:rsidR="009F4C76" w:rsidRPr="00B05180">
        <w:rPr>
          <w:rFonts w:asciiTheme="majorHAnsi" w:hAnsiTheme="majorHAnsi"/>
          <w:sz w:val="22"/>
        </w:rPr>
        <w:t>of data being collected</w:t>
      </w:r>
      <w:r w:rsidRPr="00B05180">
        <w:rPr>
          <w:rFonts w:asciiTheme="majorHAnsi" w:hAnsiTheme="majorHAnsi"/>
          <w:sz w:val="22"/>
        </w:rPr>
        <w:t>, and (iii) the consent procedure(s)</w:t>
      </w:r>
      <w:r w:rsidR="0034582A" w:rsidRPr="00B05180">
        <w:rPr>
          <w:rFonts w:asciiTheme="majorHAnsi" w:hAnsiTheme="majorHAnsi"/>
          <w:sz w:val="22"/>
        </w:rPr>
        <w:t>.</w:t>
      </w:r>
    </w:p>
    <w:p w:rsidR="009474A1" w:rsidRPr="00B05180" w:rsidRDefault="009474A1">
      <w:pPr>
        <w:rPr>
          <w:rFonts w:asciiTheme="majorHAnsi" w:hAnsiTheme="majorHAnsi"/>
          <w:sz w:val="22"/>
        </w:rPr>
      </w:pPr>
    </w:p>
    <w:p w:rsidR="00B05180" w:rsidRDefault="009474A1" w:rsidP="00B05180">
      <w:p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 xml:space="preserve">Research in the School of Arts, Languages and Cultures reflects the diverse concerns, methods and methodologies of the </w:t>
      </w:r>
      <w:r w:rsidR="004F782F" w:rsidRPr="00B05180">
        <w:rPr>
          <w:rFonts w:asciiTheme="majorHAnsi" w:hAnsiTheme="majorHAnsi"/>
          <w:sz w:val="22"/>
        </w:rPr>
        <w:t xml:space="preserve">17 </w:t>
      </w:r>
      <w:r w:rsidR="004F4E39" w:rsidRPr="00B05180">
        <w:rPr>
          <w:rFonts w:asciiTheme="majorHAnsi" w:hAnsiTheme="majorHAnsi"/>
          <w:sz w:val="22"/>
        </w:rPr>
        <w:t xml:space="preserve">cognate </w:t>
      </w:r>
      <w:r w:rsidR="004F782F" w:rsidRPr="00B05180">
        <w:rPr>
          <w:rFonts w:asciiTheme="majorHAnsi" w:hAnsiTheme="majorHAnsi"/>
          <w:sz w:val="22"/>
        </w:rPr>
        <w:t>disciplines</w:t>
      </w:r>
      <w:r w:rsidRPr="00B05180">
        <w:rPr>
          <w:rFonts w:asciiTheme="majorHAnsi" w:hAnsiTheme="majorHAnsi"/>
          <w:sz w:val="22"/>
        </w:rPr>
        <w:t xml:space="preserve"> represented within the School. </w:t>
      </w:r>
      <w:r w:rsidR="00331441" w:rsidRPr="00B05180">
        <w:rPr>
          <w:rFonts w:asciiTheme="majorHAnsi" w:hAnsiTheme="majorHAnsi"/>
          <w:sz w:val="22"/>
        </w:rPr>
        <w:t xml:space="preserve">SALC </w:t>
      </w:r>
      <w:r w:rsidR="004F4E39" w:rsidRPr="00B05180">
        <w:rPr>
          <w:rFonts w:asciiTheme="majorHAnsi" w:hAnsiTheme="majorHAnsi"/>
          <w:sz w:val="22"/>
        </w:rPr>
        <w:t xml:space="preserve">has developed an Ethics </w:t>
      </w:r>
      <w:r w:rsidR="004F782F" w:rsidRPr="00B05180">
        <w:rPr>
          <w:rFonts w:asciiTheme="majorHAnsi" w:hAnsiTheme="majorHAnsi"/>
          <w:sz w:val="22"/>
        </w:rPr>
        <w:t>Template that capture</w:t>
      </w:r>
      <w:r w:rsidR="004F4E39" w:rsidRPr="00B05180">
        <w:rPr>
          <w:rFonts w:asciiTheme="majorHAnsi" w:hAnsiTheme="majorHAnsi"/>
          <w:sz w:val="22"/>
        </w:rPr>
        <w:t>s</w:t>
      </w:r>
      <w:r w:rsidR="004F782F" w:rsidRPr="00B05180">
        <w:rPr>
          <w:rFonts w:asciiTheme="majorHAnsi" w:hAnsiTheme="majorHAnsi"/>
          <w:sz w:val="22"/>
        </w:rPr>
        <w:t xml:space="preserve"> the </w:t>
      </w:r>
      <w:r w:rsidR="004F4E39" w:rsidRPr="00B05180">
        <w:rPr>
          <w:rFonts w:asciiTheme="majorHAnsi" w:hAnsiTheme="majorHAnsi"/>
          <w:sz w:val="22"/>
        </w:rPr>
        <w:t>most commonly adopted</w:t>
      </w:r>
      <w:r w:rsidR="00331441" w:rsidRPr="00B05180">
        <w:rPr>
          <w:rFonts w:asciiTheme="majorHAnsi" w:hAnsiTheme="majorHAnsi"/>
          <w:sz w:val="22"/>
        </w:rPr>
        <w:t xml:space="preserve"> </w:t>
      </w:r>
      <w:r w:rsidR="004F4E39" w:rsidRPr="00B05180">
        <w:rPr>
          <w:rFonts w:asciiTheme="majorHAnsi" w:hAnsiTheme="majorHAnsi"/>
          <w:sz w:val="22"/>
        </w:rPr>
        <w:t>research approaches</w:t>
      </w:r>
      <w:r w:rsidR="00331441" w:rsidRPr="00B05180">
        <w:rPr>
          <w:rFonts w:asciiTheme="majorHAnsi" w:hAnsiTheme="majorHAnsi"/>
          <w:sz w:val="22"/>
        </w:rPr>
        <w:t xml:space="preserve"> </w:t>
      </w:r>
      <w:r w:rsidR="004F782F" w:rsidRPr="00B05180">
        <w:rPr>
          <w:rFonts w:asciiTheme="majorHAnsi" w:hAnsiTheme="majorHAnsi"/>
          <w:sz w:val="22"/>
        </w:rPr>
        <w:t>that exist with</w:t>
      </w:r>
      <w:r w:rsidR="006A575A" w:rsidRPr="00B05180">
        <w:rPr>
          <w:rFonts w:asciiTheme="majorHAnsi" w:hAnsiTheme="majorHAnsi"/>
          <w:sz w:val="22"/>
        </w:rPr>
        <w:t xml:space="preserve">in </w:t>
      </w:r>
      <w:r w:rsidR="00B05180" w:rsidRPr="00B05180">
        <w:rPr>
          <w:rFonts w:asciiTheme="majorHAnsi" w:hAnsiTheme="majorHAnsi"/>
          <w:sz w:val="22"/>
        </w:rPr>
        <w:t>these disciplines.</w:t>
      </w:r>
      <w:r w:rsidR="004F4E39" w:rsidRPr="00B05180">
        <w:rPr>
          <w:rFonts w:asciiTheme="majorHAnsi" w:hAnsiTheme="majorHAnsi"/>
          <w:sz w:val="22"/>
        </w:rPr>
        <w:t xml:space="preserve"> </w:t>
      </w:r>
      <w:r w:rsidR="00B05180">
        <w:rPr>
          <w:rFonts w:asciiTheme="majorHAnsi" w:hAnsiTheme="majorHAnsi"/>
          <w:sz w:val="22"/>
        </w:rPr>
        <w:t>If approved, t</w:t>
      </w:r>
      <w:r w:rsidR="004F4E39" w:rsidRPr="00B05180">
        <w:rPr>
          <w:rFonts w:asciiTheme="majorHAnsi" w:hAnsiTheme="majorHAnsi"/>
          <w:sz w:val="22"/>
        </w:rPr>
        <w:t xml:space="preserve">he </w:t>
      </w:r>
      <w:r w:rsidR="00B05180" w:rsidRPr="00B05180">
        <w:rPr>
          <w:rFonts w:asciiTheme="majorHAnsi" w:hAnsiTheme="majorHAnsi"/>
          <w:sz w:val="22"/>
        </w:rPr>
        <w:t xml:space="preserve">Template </w:t>
      </w:r>
      <w:r w:rsidR="00B05180">
        <w:rPr>
          <w:rFonts w:asciiTheme="majorHAnsi" w:hAnsiTheme="majorHAnsi"/>
          <w:sz w:val="22"/>
        </w:rPr>
        <w:t>would allow</w:t>
      </w:r>
      <w:r w:rsidR="00B05180" w:rsidRPr="00B05180">
        <w:rPr>
          <w:rFonts w:asciiTheme="majorHAnsi" w:hAnsiTheme="majorHAnsi"/>
          <w:sz w:val="22"/>
        </w:rPr>
        <w:t xml:space="preserve"> the School’s Research Ethics Panel to </w:t>
      </w:r>
      <w:r w:rsidR="00B05180">
        <w:rPr>
          <w:rFonts w:asciiTheme="majorHAnsi" w:hAnsiTheme="majorHAnsi"/>
          <w:sz w:val="22"/>
        </w:rPr>
        <w:t>review</w:t>
      </w:r>
      <w:r w:rsidR="00B05180" w:rsidRPr="00B05180">
        <w:rPr>
          <w:rFonts w:asciiTheme="majorHAnsi" w:hAnsiTheme="majorHAnsi"/>
          <w:sz w:val="22"/>
        </w:rPr>
        <w:t xml:space="preserve"> staff and postgraduate research that:</w:t>
      </w:r>
    </w:p>
    <w:p w:rsidR="00B05180" w:rsidRPr="00B05180" w:rsidRDefault="00B05180" w:rsidP="00B05180">
      <w:pPr>
        <w:rPr>
          <w:rFonts w:asciiTheme="majorHAnsi" w:hAnsiTheme="majorHAnsi"/>
          <w:sz w:val="22"/>
        </w:rPr>
      </w:pPr>
    </w:p>
    <w:p w:rsidR="00B05180" w:rsidRPr="00B05180" w:rsidRDefault="00B05180" w:rsidP="00B05180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>Engages with healthy adults;</w:t>
      </w:r>
    </w:p>
    <w:p w:rsidR="00B05180" w:rsidRPr="00B05180" w:rsidRDefault="00B05180" w:rsidP="00B05180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 xml:space="preserve">Engages with healthy children and young people under 16 years in a professional setting accredited to work with children and young people, such as a cultural institution, school or youth club, </w:t>
      </w:r>
      <w:r>
        <w:rPr>
          <w:rFonts w:asciiTheme="majorHAnsi" w:hAnsiTheme="majorHAnsi"/>
          <w:sz w:val="22"/>
        </w:rPr>
        <w:t xml:space="preserve">and </w:t>
      </w:r>
      <w:r w:rsidRPr="00B05180">
        <w:rPr>
          <w:rFonts w:asciiTheme="majorHAnsi" w:hAnsiTheme="majorHAnsi"/>
          <w:i/>
          <w:sz w:val="22"/>
        </w:rPr>
        <w:t xml:space="preserve">only </w:t>
      </w:r>
      <w:r>
        <w:rPr>
          <w:rFonts w:asciiTheme="majorHAnsi" w:hAnsiTheme="majorHAnsi"/>
          <w:sz w:val="22"/>
        </w:rPr>
        <w:t>when</w:t>
      </w:r>
      <w:r w:rsidRPr="00B05180">
        <w:rPr>
          <w:rFonts w:asciiTheme="majorHAnsi" w:hAnsiTheme="majorHAnsi"/>
          <w:sz w:val="22"/>
        </w:rPr>
        <w:t xml:space="preserve"> the child/young person is accompanied by a parent/carer or professional with a duty of care;</w:t>
      </w:r>
    </w:p>
    <w:p w:rsidR="00B05180" w:rsidRPr="00B05180" w:rsidRDefault="00B05180" w:rsidP="00B05180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>Follows standard procedures and research methods relevant to its discipline;</w:t>
      </w:r>
    </w:p>
    <w:p w:rsidR="00B05180" w:rsidRPr="003549CA" w:rsidRDefault="00B05180" w:rsidP="003549CA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 xml:space="preserve">Does not </w:t>
      </w:r>
      <w:r>
        <w:rPr>
          <w:rFonts w:asciiTheme="majorHAnsi" w:hAnsiTheme="majorHAnsi"/>
          <w:sz w:val="22"/>
        </w:rPr>
        <w:t xml:space="preserve">require research participants to provide personal and </w:t>
      </w:r>
      <w:r w:rsidRPr="00B05180">
        <w:rPr>
          <w:rFonts w:asciiTheme="majorHAnsi" w:hAnsiTheme="majorHAnsi"/>
          <w:sz w:val="22"/>
        </w:rPr>
        <w:t xml:space="preserve">sensitive </w:t>
      </w:r>
      <w:r>
        <w:rPr>
          <w:rFonts w:asciiTheme="majorHAnsi" w:hAnsiTheme="majorHAnsi"/>
          <w:sz w:val="22"/>
        </w:rPr>
        <w:t xml:space="preserve">information likely to lead to significant levels of distress </w:t>
      </w:r>
      <w:r w:rsidR="00E7669B">
        <w:rPr>
          <w:rFonts w:asciiTheme="majorHAnsi" w:hAnsiTheme="majorHAnsi"/>
          <w:sz w:val="22"/>
        </w:rPr>
        <w:t>(</w:t>
      </w:r>
      <w:r>
        <w:rPr>
          <w:rFonts w:asciiTheme="majorHAnsi" w:hAnsiTheme="majorHAnsi"/>
          <w:sz w:val="22"/>
        </w:rPr>
        <w:t xml:space="preserve">the research topics </w:t>
      </w:r>
      <w:r w:rsidRPr="00B05180">
        <w:rPr>
          <w:rFonts w:asciiTheme="majorHAnsi" w:hAnsiTheme="majorHAnsi"/>
          <w:sz w:val="22"/>
        </w:rPr>
        <w:t>are either not contentious or sensitive at all, or a re</w:t>
      </w:r>
      <w:r>
        <w:rPr>
          <w:rFonts w:asciiTheme="majorHAnsi" w:hAnsiTheme="majorHAnsi"/>
          <w:sz w:val="22"/>
        </w:rPr>
        <w:t>asonable person would agree the</w:t>
      </w:r>
      <w:r w:rsidRPr="00B05180">
        <w:rPr>
          <w:rFonts w:asciiTheme="majorHAnsi" w:hAnsiTheme="majorHAnsi"/>
          <w:sz w:val="22"/>
        </w:rPr>
        <w:t xml:space="preserve"> topic </w:t>
      </w:r>
      <w:r>
        <w:rPr>
          <w:rFonts w:asciiTheme="majorHAnsi" w:hAnsiTheme="majorHAnsi"/>
          <w:sz w:val="22"/>
        </w:rPr>
        <w:t xml:space="preserve">is </w:t>
      </w:r>
      <w:r w:rsidRPr="00B05180">
        <w:rPr>
          <w:rFonts w:asciiTheme="majorHAnsi" w:hAnsiTheme="majorHAnsi"/>
          <w:sz w:val="22"/>
        </w:rPr>
        <w:t xml:space="preserve">of legitimate interest and may result in distress in </w:t>
      </w:r>
      <w:r w:rsidRPr="00B05180">
        <w:rPr>
          <w:rFonts w:asciiTheme="majorHAnsi" w:hAnsiTheme="majorHAnsi"/>
          <w:i/>
          <w:sz w:val="22"/>
        </w:rPr>
        <w:t>rare</w:t>
      </w:r>
      <w:r w:rsidRPr="00B05180">
        <w:rPr>
          <w:rFonts w:asciiTheme="majorHAnsi" w:hAnsiTheme="majorHAnsi"/>
          <w:sz w:val="22"/>
        </w:rPr>
        <w:t xml:space="preserve"> instances);</w:t>
      </w:r>
    </w:p>
    <w:p w:rsidR="00B05180" w:rsidRDefault="00B05180" w:rsidP="00B05180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 xml:space="preserve">Presents a minimal level of risk to researchers and/or research participants. </w:t>
      </w:r>
    </w:p>
    <w:p w:rsidR="00B05180" w:rsidRPr="00B05180" w:rsidRDefault="00B05180" w:rsidP="00B05180">
      <w:pPr>
        <w:pStyle w:val="ListParagraph"/>
        <w:ind w:left="360"/>
        <w:rPr>
          <w:rFonts w:asciiTheme="majorHAnsi" w:hAnsiTheme="majorHAnsi"/>
          <w:sz w:val="22"/>
        </w:rPr>
      </w:pPr>
    </w:p>
    <w:p w:rsidR="00580740" w:rsidRPr="00B05180" w:rsidRDefault="004F782F" w:rsidP="00B05180">
      <w:p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 xml:space="preserve">Alongside the Template, we propose a clear set of </w:t>
      </w:r>
      <w:r w:rsidR="00331441" w:rsidRPr="00B05180">
        <w:rPr>
          <w:rFonts w:asciiTheme="majorHAnsi" w:hAnsiTheme="majorHAnsi"/>
          <w:sz w:val="22"/>
        </w:rPr>
        <w:t xml:space="preserve">procedures </w:t>
      </w:r>
      <w:r w:rsidRPr="00B05180">
        <w:rPr>
          <w:rFonts w:asciiTheme="majorHAnsi" w:hAnsiTheme="majorHAnsi"/>
          <w:sz w:val="22"/>
        </w:rPr>
        <w:t xml:space="preserve">for </w:t>
      </w:r>
      <w:r w:rsidR="00331441" w:rsidRPr="00B05180">
        <w:rPr>
          <w:rFonts w:asciiTheme="majorHAnsi" w:hAnsiTheme="majorHAnsi"/>
          <w:sz w:val="22"/>
        </w:rPr>
        <w:t>governance</w:t>
      </w:r>
      <w:r w:rsidR="008A2325" w:rsidRPr="00B05180">
        <w:rPr>
          <w:rFonts w:asciiTheme="majorHAnsi" w:hAnsiTheme="majorHAnsi"/>
          <w:sz w:val="22"/>
        </w:rPr>
        <w:t xml:space="preserve"> of research ethics</w:t>
      </w:r>
      <w:r w:rsidR="00E56AA9" w:rsidRPr="00B05180">
        <w:rPr>
          <w:rFonts w:asciiTheme="majorHAnsi" w:hAnsiTheme="majorHAnsi"/>
          <w:sz w:val="22"/>
        </w:rPr>
        <w:t xml:space="preserve"> in the School</w:t>
      </w:r>
      <w:r w:rsidR="00331441" w:rsidRPr="00B05180">
        <w:rPr>
          <w:rFonts w:asciiTheme="majorHAnsi" w:hAnsiTheme="majorHAnsi"/>
          <w:sz w:val="22"/>
        </w:rPr>
        <w:t xml:space="preserve">. </w:t>
      </w:r>
      <w:r w:rsidRPr="00B05180">
        <w:rPr>
          <w:rFonts w:asciiTheme="majorHAnsi" w:hAnsiTheme="majorHAnsi"/>
          <w:sz w:val="22"/>
        </w:rPr>
        <w:t xml:space="preserve"> </w:t>
      </w:r>
    </w:p>
    <w:p w:rsidR="00580740" w:rsidRPr="00B05180" w:rsidRDefault="00580740" w:rsidP="00B05180">
      <w:pPr>
        <w:rPr>
          <w:rFonts w:asciiTheme="majorHAnsi" w:hAnsiTheme="majorHAnsi"/>
          <w:sz w:val="22"/>
        </w:rPr>
      </w:pPr>
    </w:p>
    <w:p w:rsidR="00580740" w:rsidRPr="00B05180" w:rsidRDefault="00580740" w:rsidP="00B05180">
      <w:p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 xml:space="preserve">The School </w:t>
      </w:r>
      <w:r w:rsidR="00985E31" w:rsidRPr="00B05180">
        <w:rPr>
          <w:rFonts w:asciiTheme="majorHAnsi" w:hAnsiTheme="majorHAnsi"/>
          <w:sz w:val="22"/>
        </w:rPr>
        <w:t>Research Ethics Panel have</w:t>
      </w:r>
      <w:r w:rsidRPr="00B05180">
        <w:rPr>
          <w:rFonts w:asciiTheme="majorHAnsi" w:hAnsiTheme="majorHAnsi"/>
          <w:sz w:val="22"/>
        </w:rPr>
        <w:t xml:space="preserve"> draw</w:t>
      </w:r>
      <w:r w:rsidR="003C22AF" w:rsidRPr="00B05180">
        <w:rPr>
          <w:rFonts w:asciiTheme="majorHAnsi" w:hAnsiTheme="majorHAnsi"/>
          <w:sz w:val="22"/>
        </w:rPr>
        <w:t xml:space="preserve">n on existing practice in SALC, </w:t>
      </w:r>
      <w:r w:rsidRPr="00B05180">
        <w:rPr>
          <w:rFonts w:asciiTheme="majorHAnsi" w:hAnsiTheme="majorHAnsi"/>
          <w:sz w:val="22"/>
        </w:rPr>
        <w:t xml:space="preserve">the School of Education Ethics Template and ‘Research risk </w:t>
      </w:r>
      <w:r w:rsidR="00985E31" w:rsidRPr="00B05180">
        <w:rPr>
          <w:rFonts w:asciiTheme="majorHAnsi" w:hAnsiTheme="majorHAnsi"/>
          <w:sz w:val="22"/>
        </w:rPr>
        <w:t>and ethics assessment’ document</w:t>
      </w:r>
      <w:r w:rsidRPr="00B05180">
        <w:rPr>
          <w:rFonts w:asciiTheme="majorHAnsi" w:hAnsiTheme="majorHAnsi"/>
          <w:sz w:val="22"/>
        </w:rPr>
        <w:t xml:space="preserve">, and School </w:t>
      </w:r>
      <w:r w:rsidR="00985E31" w:rsidRPr="00B05180">
        <w:rPr>
          <w:rFonts w:asciiTheme="majorHAnsi" w:hAnsiTheme="majorHAnsi"/>
          <w:sz w:val="22"/>
        </w:rPr>
        <w:t>of Environment and Development Risk A</w:t>
      </w:r>
      <w:r w:rsidRPr="00B05180">
        <w:rPr>
          <w:rFonts w:asciiTheme="majorHAnsi" w:hAnsiTheme="majorHAnsi"/>
          <w:sz w:val="22"/>
        </w:rPr>
        <w:t xml:space="preserve">ssessment procedures </w:t>
      </w:r>
      <w:r w:rsidR="00985E31" w:rsidRPr="00B05180">
        <w:rPr>
          <w:rFonts w:asciiTheme="majorHAnsi" w:hAnsiTheme="majorHAnsi"/>
          <w:sz w:val="22"/>
        </w:rPr>
        <w:t>when</w:t>
      </w:r>
      <w:r w:rsidRPr="00B05180">
        <w:rPr>
          <w:rFonts w:asciiTheme="majorHAnsi" w:hAnsiTheme="majorHAnsi"/>
          <w:sz w:val="22"/>
        </w:rPr>
        <w:t xml:space="preserve"> developing the policy and </w:t>
      </w:r>
      <w:r w:rsidR="00985E31" w:rsidRPr="00B05180">
        <w:rPr>
          <w:rFonts w:asciiTheme="majorHAnsi" w:hAnsiTheme="majorHAnsi"/>
          <w:sz w:val="22"/>
        </w:rPr>
        <w:t>procedures presented here. The</w:t>
      </w:r>
      <w:r w:rsidRPr="00B05180">
        <w:rPr>
          <w:rFonts w:asciiTheme="majorHAnsi" w:hAnsiTheme="majorHAnsi"/>
          <w:sz w:val="22"/>
        </w:rPr>
        <w:t xml:space="preserve"> documents put forward for UREC review here have been </w:t>
      </w:r>
      <w:r w:rsidR="00985E31" w:rsidRPr="00B05180">
        <w:rPr>
          <w:rFonts w:asciiTheme="majorHAnsi" w:hAnsiTheme="majorHAnsi"/>
          <w:sz w:val="22"/>
        </w:rPr>
        <w:t xml:space="preserve">developed </w:t>
      </w:r>
      <w:r w:rsidR="00B05180">
        <w:rPr>
          <w:rFonts w:asciiTheme="majorHAnsi" w:hAnsiTheme="majorHAnsi"/>
          <w:sz w:val="22"/>
        </w:rPr>
        <w:t>in consultation with</w:t>
      </w:r>
      <w:r w:rsidRPr="00B05180">
        <w:rPr>
          <w:rFonts w:asciiTheme="majorHAnsi" w:hAnsiTheme="majorHAnsi"/>
          <w:sz w:val="22"/>
        </w:rPr>
        <w:t>:</w:t>
      </w:r>
    </w:p>
    <w:p w:rsidR="00580740" w:rsidRPr="00B05180" w:rsidRDefault="00580740">
      <w:pPr>
        <w:rPr>
          <w:rFonts w:asciiTheme="majorHAnsi" w:hAnsiTheme="majorHAnsi"/>
          <w:sz w:val="22"/>
        </w:rPr>
      </w:pPr>
    </w:p>
    <w:p w:rsidR="00985E31" w:rsidRPr="00B05180" w:rsidRDefault="00580740">
      <w:p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 xml:space="preserve">Martina </w:t>
      </w:r>
      <w:r w:rsidR="00985E31" w:rsidRPr="00B05180">
        <w:rPr>
          <w:rFonts w:asciiTheme="majorHAnsi" w:hAnsiTheme="majorHAnsi"/>
          <w:sz w:val="22"/>
        </w:rPr>
        <w:t>Faller – School Postgraduate Research Director</w:t>
      </w:r>
    </w:p>
    <w:p w:rsidR="00985E31" w:rsidRPr="00B05180" w:rsidRDefault="00985E31" w:rsidP="00985E31">
      <w:p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>Abigail Gilmore – School Postgraduate Taught Programmes Director</w:t>
      </w:r>
    </w:p>
    <w:p w:rsidR="00985E31" w:rsidRPr="00B05180" w:rsidRDefault="00985E31" w:rsidP="00985E31">
      <w:p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>Jenny Hughes – SALC Research Ethics Panel Chair and University Research Ethics committee member (Committee 2)</w:t>
      </w:r>
    </w:p>
    <w:p w:rsidR="00985E31" w:rsidRPr="00B05180" w:rsidRDefault="00985E31" w:rsidP="00985E31">
      <w:p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 xml:space="preserve">Stephen Hutchings – School Research Director </w:t>
      </w:r>
    </w:p>
    <w:p w:rsidR="00985E31" w:rsidRPr="00B05180" w:rsidRDefault="00985E31" w:rsidP="00985E31">
      <w:pPr>
        <w:rPr>
          <w:rFonts w:asciiTheme="majorHAnsi" w:hAnsiTheme="majorHAnsi"/>
          <w:sz w:val="22"/>
        </w:rPr>
      </w:pPr>
      <w:r w:rsidRPr="00B05180">
        <w:rPr>
          <w:rFonts w:asciiTheme="majorHAnsi" w:hAnsiTheme="majorHAnsi"/>
          <w:sz w:val="22"/>
        </w:rPr>
        <w:t xml:space="preserve">Eva </w:t>
      </w:r>
      <w:proofErr w:type="spellStart"/>
      <w:r w:rsidRPr="00B05180">
        <w:rPr>
          <w:rFonts w:asciiTheme="majorHAnsi" w:hAnsiTheme="majorHAnsi"/>
          <w:sz w:val="22"/>
        </w:rPr>
        <w:t>Schultze</w:t>
      </w:r>
      <w:proofErr w:type="spellEnd"/>
      <w:r w:rsidRPr="00B05180">
        <w:rPr>
          <w:rFonts w:asciiTheme="majorHAnsi" w:hAnsiTheme="majorHAnsi"/>
          <w:sz w:val="22"/>
        </w:rPr>
        <w:t>-Berndt –Professor of Linguistics and University Research Ethics committee member (Committee 3)</w:t>
      </w:r>
    </w:p>
    <w:p w:rsidR="00985E31" w:rsidRPr="00B05180" w:rsidRDefault="00985E31" w:rsidP="00985E31">
      <w:pPr>
        <w:rPr>
          <w:rFonts w:asciiTheme="majorHAnsi" w:hAnsiTheme="majorHAnsi"/>
          <w:sz w:val="22"/>
        </w:rPr>
      </w:pPr>
      <w:proofErr w:type="spellStart"/>
      <w:r w:rsidRPr="00B05180">
        <w:rPr>
          <w:rFonts w:asciiTheme="majorHAnsi" w:hAnsiTheme="majorHAnsi"/>
          <w:sz w:val="22"/>
        </w:rPr>
        <w:t>Osen</w:t>
      </w:r>
      <w:proofErr w:type="spellEnd"/>
      <w:r w:rsidRPr="00B05180">
        <w:rPr>
          <w:rFonts w:asciiTheme="majorHAnsi" w:hAnsiTheme="majorHAnsi"/>
          <w:sz w:val="22"/>
        </w:rPr>
        <w:t xml:space="preserve"> </w:t>
      </w:r>
      <w:proofErr w:type="spellStart"/>
      <w:r w:rsidRPr="00B05180">
        <w:rPr>
          <w:rFonts w:asciiTheme="majorHAnsi" w:hAnsiTheme="majorHAnsi"/>
          <w:sz w:val="22"/>
        </w:rPr>
        <w:t>Yildirim</w:t>
      </w:r>
      <w:proofErr w:type="spellEnd"/>
      <w:r w:rsidRPr="00B05180">
        <w:rPr>
          <w:rFonts w:asciiTheme="majorHAnsi" w:hAnsiTheme="majorHAnsi"/>
          <w:sz w:val="22"/>
        </w:rPr>
        <w:t xml:space="preserve"> – School Estates and Compliance Manager</w:t>
      </w:r>
    </w:p>
    <w:p w:rsidR="009474A1" w:rsidRPr="00B05180" w:rsidRDefault="009474A1">
      <w:pPr>
        <w:rPr>
          <w:rFonts w:asciiTheme="majorHAnsi" w:hAnsiTheme="majorHAnsi"/>
          <w:sz w:val="22"/>
        </w:rPr>
      </w:pPr>
    </w:p>
    <w:sectPr w:rsidR="009474A1" w:rsidRPr="00B05180" w:rsidSect="009474A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773036F"/>
    <w:multiLevelType w:val="hybridMultilevel"/>
    <w:tmpl w:val="BDCE0318"/>
    <w:lvl w:ilvl="0" w:tplc="09A68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C2C5C"/>
    <w:multiLevelType w:val="hybridMultilevel"/>
    <w:tmpl w:val="F724A7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CB0D6E"/>
    <w:multiLevelType w:val="hybridMultilevel"/>
    <w:tmpl w:val="C55A9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B6E7682"/>
    <w:multiLevelType w:val="hybridMultilevel"/>
    <w:tmpl w:val="3214B3E8"/>
    <w:lvl w:ilvl="0" w:tplc="09A68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474A1"/>
    <w:rsid w:val="00092F55"/>
    <w:rsid w:val="000A2954"/>
    <w:rsid w:val="001048D7"/>
    <w:rsid w:val="00163C89"/>
    <w:rsid w:val="001A4EDB"/>
    <w:rsid w:val="001E0CAE"/>
    <w:rsid w:val="00206E9D"/>
    <w:rsid w:val="00210F17"/>
    <w:rsid w:val="00331441"/>
    <w:rsid w:val="0034582A"/>
    <w:rsid w:val="003549CA"/>
    <w:rsid w:val="003562F5"/>
    <w:rsid w:val="003A7796"/>
    <w:rsid w:val="003C22AF"/>
    <w:rsid w:val="004A6FD4"/>
    <w:rsid w:val="004C59DB"/>
    <w:rsid w:val="004F4E39"/>
    <w:rsid w:val="004F782F"/>
    <w:rsid w:val="00525DCE"/>
    <w:rsid w:val="00580740"/>
    <w:rsid w:val="005D02F2"/>
    <w:rsid w:val="0060439B"/>
    <w:rsid w:val="00634463"/>
    <w:rsid w:val="006A28AF"/>
    <w:rsid w:val="006A575A"/>
    <w:rsid w:val="00743F7C"/>
    <w:rsid w:val="007D021A"/>
    <w:rsid w:val="007D2729"/>
    <w:rsid w:val="008A2325"/>
    <w:rsid w:val="008C2DC9"/>
    <w:rsid w:val="008C50C6"/>
    <w:rsid w:val="00946208"/>
    <w:rsid w:val="009474A1"/>
    <w:rsid w:val="00985E31"/>
    <w:rsid w:val="00987F0B"/>
    <w:rsid w:val="009F4C76"/>
    <w:rsid w:val="00AD1FFB"/>
    <w:rsid w:val="00B05180"/>
    <w:rsid w:val="00CA2D9A"/>
    <w:rsid w:val="00D33982"/>
    <w:rsid w:val="00D34166"/>
    <w:rsid w:val="00D8414E"/>
    <w:rsid w:val="00DB7895"/>
    <w:rsid w:val="00E36D5D"/>
    <w:rsid w:val="00E56AA9"/>
    <w:rsid w:val="00E7669B"/>
    <w:rsid w:val="00F512E6"/>
    <w:rsid w:val="00F522D1"/>
  </w:rsids>
  <m:mathPr>
    <m:mathFont m:val="Helvetica Neu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4B0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474A1"/>
    <w:pPr>
      <w:ind w:left="720"/>
      <w:contextualSpacing/>
    </w:pPr>
  </w:style>
  <w:style w:type="paragraph" w:styleId="NoSpacing">
    <w:name w:val="No Spacing"/>
    <w:uiPriority w:val="1"/>
    <w:qFormat/>
    <w:rsid w:val="00B05180"/>
    <w:rPr>
      <w:rFonts w:ascii="Arial" w:eastAsia="Times New Roman" w:hAnsi="Arial" w:cs="Arial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484</Words>
  <Characters>2761</Characters>
  <Application>Microsoft Word 12.1.0</Application>
  <DocSecurity>0</DocSecurity>
  <Lines>23</Lines>
  <Paragraphs>5</Paragraphs>
  <ScaleCrop>false</ScaleCrop>
  <Company>University of Manchester</Company>
  <LinksUpToDate>false</LinksUpToDate>
  <CharactersWithSpaces>3390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 Hughes</dc:creator>
  <cp:keywords/>
  <cp:lastModifiedBy>Jenny  Hughes</cp:lastModifiedBy>
  <cp:revision>16</cp:revision>
  <dcterms:created xsi:type="dcterms:W3CDTF">2013-04-03T17:34:00Z</dcterms:created>
  <dcterms:modified xsi:type="dcterms:W3CDTF">2013-04-15T13:41:00Z</dcterms:modified>
</cp:coreProperties>
</file>