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7087"/>
      </w:tblGrid>
      <w:tr w:rsidR="006064BE" w:rsidTr="006064BE">
        <w:tc>
          <w:tcPr>
            <w:tcW w:w="7087" w:type="dxa"/>
          </w:tcPr>
          <w:p w:rsidR="006064BE" w:rsidRPr="006064BE" w:rsidRDefault="006064BE" w:rsidP="006064BE">
            <w:pPr>
              <w:jc w:val="center"/>
              <w:rPr>
                <w:rFonts w:asciiTheme="minorHAnsi" w:hAnsiTheme="minorHAnsi" w:cstheme="minorBidi"/>
                <w:b/>
                <w:sz w:val="28"/>
                <w:szCs w:val="28"/>
                <w:lang w:val="en-GB"/>
              </w:rPr>
            </w:pPr>
            <w:r w:rsidRPr="006064BE">
              <w:rPr>
                <w:rFonts w:asciiTheme="minorHAnsi" w:hAnsiTheme="minorHAnsi" w:cstheme="minorBidi"/>
                <w:b/>
                <w:sz w:val="28"/>
                <w:szCs w:val="28"/>
                <w:lang w:val="en-GB"/>
              </w:rPr>
              <w:t>Conversion framework for maximising UK/EU undergraduate student recruitment</w:t>
            </w:r>
          </w:p>
          <w:p w:rsidR="006064BE" w:rsidRDefault="006064BE" w:rsidP="007A3B7F">
            <w:pPr>
              <w:jc w:val="both"/>
              <w:rPr>
                <w:rFonts w:asciiTheme="minorHAnsi" w:hAnsiTheme="minorHAnsi" w:cstheme="minorBidi"/>
                <w:b/>
                <w:sz w:val="20"/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6064BE" w:rsidRPr="00AB1BED" w:rsidRDefault="006064BE" w:rsidP="006064B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35"/>
              <w:gridCol w:w="4426"/>
            </w:tblGrid>
            <w:tr w:rsidR="006064BE" w:rsidRPr="00AB1BED" w:rsidTr="005E4E95">
              <w:tc>
                <w:tcPr>
                  <w:tcW w:w="2660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6064BE" w:rsidRPr="00AB1BED" w:rsidRDefault="006064BE" w:rsidP="005E4E95">
                  <w:pPr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AB1BED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Key</w:t>
                  </w:r>
                </w:p>
              </w:tc>
              <w:tc>
                <w:tcPr>
                  <w:tcW w:w="5103" w:type="dxa"/>
                </w:tcPr>
                <w:p w:rsidR="006064BE" w:rsidRPr="00AB1BED" w:rsidRDefault="006064BE" w:rsidP="005E4E95">
                  <w:pPr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AB1BED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Admissions or Student Communication &amp; Marketing Team</w:t>
                  </w:r>
                </w:p>
              </w:tc>
            </w:tr>
            <w:tr w:rsidR="006064BE" w:rsidRPr="00AB1BED" w:rsidTr="005E4E95">
              <w:tc>
                <w:tcPr>
                  <w:tcW w:w="2660" w:type="dxa"/>
                  <w:shd w:val="clear" w:color="auto" w:fill="FFFF00"/>
                </w:tcPr>
                <w:p w:rsidR="006064BE" w:rsidRPr="00AB1BED" w:rsidRDefault="006064BE" w:rsidP="005E4E95">
                  <w:pPr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AB1BED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Key</w:t>
                  </w:r>
                </w:p>
              </w:tc>
              <w:tc>
                <w:tcPr>
                  <w:tcW w:w="5103" w:type="dxa"/>
                </w:tcPr>
                <w:p w:rsidR="006064BE" w:rsidRPr="00AB1BED" w:rsidRDefault="006064BE" w:rsidP="005E4E95">
                  <w:pPr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AB1BED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Schools</w:t>
                  </w:r>
                </w:p>
              </w:tc>
            </w:tr>
            <w:tr w:rsidR="006064BE" w:rsidRPr="00AB1BED" w:rsidTr="005E4E95">
              <w:tc>
                <w:tcPr>
                  <w:tcW w:w="2660" w:type="dxa"/>
                  <w:shd w:val="clear" w:color="auto" w:fill="E36C0A" w:themeFill="accent6" w:themeFillShade="BF"/>
                </w:tcPr>
                <w:p w:rsidR="006064BE" w:rsidRPr="00AB1BED" w:rsidRDefault="006064BE" w:rsidP="005E4E95">
                  <w:pPr>
                    <w:tabs>
                      <w:tab w:val="center" w:pos="1222"/>
                      <w:tab w:val="right" w:pos="2444"/>
                    </w:tabs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AB1BED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Key</w:t>
                  </w:r>
                  <w:r w:rsidRPr="00AB1BED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ab/>
                  </w:r>
                  <w:r w:rsidRPr="00AB1BED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5103" w:type="dxa"/>
                </w:tcPr>
                <w:p w:rsidR="006064BE" w:rsidRPr="00AB1BED" w:rsidRDefault="006064BE" w:rsidP="005E4E95">
                  <w:pPr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AB1BED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 xml:space="preserve">Student Recruitment and International Development Division </w:t>
                  </w:r>
                </w:p>
              </w:tc>
            </w:tr>
          </w:tbl>
          <w:p w:rsidR="006064BE" w:rsidRPr="006064BE" w:rsidRDefault="006064BE" w:rsidP="007A3B7F">
            <w:pPr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</w:tr>
    </w:tbl>
    <w:p w:rsidR="00B06567" w:rsidRPr="006064BE" w:rsidRDefault="00B06567" w:rsidP="00AB1BED">
      <w:pPr>
        <w:ind w:firstLine="720"/>
        <w:jc w:val="both"/>
        <w:rPr>
          <w:rFonts w:asciiTheme="minorHAnsi" w:hAnsiTheme="minorHAnsi" w:cstheme="minorBidi"/>
          <w:sz w:val="20"/>
          <w:szCs w:val="20"/>
          <w:lang w:val="en-GB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369"/>
        <w:gridCol w:w="5115"/>
        <w:gridCol w:w="2619"/>
        <w:gridCol w:w="2989"/>
      </w:tblGrid>
      <w:tr w:rsidR="003C6BEC" w:rsidRPr="006064BE" w:rsidTr="006064BE">
        <w:trPr>
          <w:trHeight w:val="765"/>
          <w:tblCellSpacing w:w="0" w:type="dxa"/>
        </w:trPr>
        <w:tc>
          <w:tcPr>
            <w:tcW w:w="0" w:type="auto"/>
            <w:tcBorders>
              <w:top w:val="single" w:sz="4" w:space="0" w:color="auto"/>
              <w:bottom w:val="single" w:sz="6" w:space="0" w:color="000000"/>
            </w:tcBorders>
            <w:shd w:val="clear" w:color="auto" w:fill="DEBDFF"/>
          </w:tcPr>
          <w:p w:rsidR="003C6BEC" w:rsidRPr="006064BE" w:rsidRDefault="0037714E" w:rsidP="00AB1BED">
            <w:pPr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STAGE 1:</w:t>
            </w:r>
          </w:p>
          <w:p w:rsidR="00A43DD4" w:rsidRPr="006064BE" w:rsidRDefault="0037714E" w:rsidP="00AB1BED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APPLICATION TO </w:t>
            </w:r>
          </w:p>
          <w:p w:rsidR="008F5784" w:rsidRPr="006064BE" w:rsidRDefault="0037714E" w:rsidP="006064BE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OFFER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000000"/>
            </w:tcBorders>
            <w:shd w:val="clear" w:color="auto" w:fill="DEBDFF"/>
          </w:tcPr>
          <w:p w:rsidR="003C6BEC" w:rsidRPr="006064BE" w:rsidRDefault="0037714E" w:rsidP="00AB1BED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STAGE 2:</w:t>
            </w:r>
          </w:p>
          <w:p w:rsidR="00A43DD4" w:rsidRPr="006064BE" w:rsidRDefault="0037714E" w:rsidP="00AB1BED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OFFER TO </w:t>
            </w:r>
          </w:p>
          <w:p w:rsidR="003C6BEC" w:rsidRPr="006064BE" w:rsidRDefault="0037714E" w:rsidP="006064BE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ACCEPTANCE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000000"/>
            </w:tcBorders>
            <w:shd w:val="clear" w:color="auto" w:fill="DEBDFF"/>
          </w:tcPr>
          <w:p w:rsidR="003C6BEC" w:rsidRPr="006064BE" w:rsidRDefault="0037714E" w:rsidP="00AB1BED">
            <w:pPr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STAGE 3:</w:t>
            </w:r>
          </w:p>
          <w:p w:rsidR="003C6BEC" w:rsidRPr="006064BE" w:rsidRDefault="0037714E" w:rsidP="00AB1BED">
            <w:pPr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ACCEPT TO CONFIRMATION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000000"/>
            </w:tcBorders>
            <w:shd w:val="clear" w:color="auto" w:fill="DEBDFF"/>
          </w:tcPr>
          <w:p w:rsidR="003C6BEC" w:rsidRPr="006064BE" w:rsidRDefault="0037714E" w:rsidP="00AB1BED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STAGE 4:</w:t>
            </w:r>
          </w:p>
          <w:p w:rsidR="003C6BEC" w:rsidRPr="006064BE" w:rsidRDefault="0037714E" w:rsidP="00AB1BED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CONFIRMATION TO REGISTRATION</w:t>
            </w:r>
          </w:p>
        </w:tc>
      </w:tr>
      <w:tr w:rsidR="00B61864" w:rsidRPr="006064BE" w:rsidTr="006064BE">
        <w:trPr>
          <w:trHeight w:val="765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EBDFF"/>
          </w:tcPr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Processes are in place to ensure a fast turnaround time from application to offer to </w:t>
            </w:r>
            <w:proofErr w:type="spellStart"/>
            <w:r w:rsidRPr="006064BE">
              <w:rPr>
                <w:rFonts w:asciiTheme="minorHAnsi" w:hAnsiTheme="minorHAnsi" w:cstheme="minorBidi"/>
                <w:sz w:val="20"/>
                <w:szCs w:val="20"/>
              </w:rPr>
              <w:t>maximise</w:t>
            </w:r>
            <w:proofErr w:type="spellEnd"/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conversion: the process should normally be no more than 3</w:t>
            </w:r>
            <w:r w:rsidR="00137AC6" w:rsidRPr="006064BE">
              <w:rPr>
                <w:rFonts w:asciiTheme="minorHAnsi" w:hAnsiTheme="minorHAnsi" w:cstheme="minorBidi"/>
                <w:sz w:val="20"/>
                <w:szCs w:val="20"/>
              </w:rPr>
              <w:t>-5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working days from receipt of the application to an offer or equivalent (i.e. invitation to interview).</w:t>
            </w: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61864" w:rsidRPr="006064BE" w:rsidRDefault="00B61864" w:rsidP="00C0232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This stage may include course specific tests (e.g. UKCAT) and/or interviews.</w:t>
            </w:r>
            <w:r w:rsidR="00137AC6"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 Interviews may be combined with Application Visit Days.  </w:t>
            </w:r>
            <w:r w:rsidR="00137AC6" w:rsidRPr="006064BE">
              <w:rPr>
                <w:rFonts w:asciiTheme="minorHAnsi" w:hAnsiTheme="minorHAnsi" w:cstheme="minorBidi"/>
                <w:sz w:val="20"/>
                <w:szCs w:val="20"/>
              </w:rPr>
              <w:t>Guidance for interview</w:t>
            </w:r>
            <w:r w:rsidR="00C02327" w:rsidRPr="006064BE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137AC6"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can be found on the </w:t>
            </w:r>
            <w:hyperlink r:id="rId7" w:history="1">
              <w:r w:rsidR="00137AC6" w:rsidRPr="006064BE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RAID intranet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EBDFF"/>
          </w:tcPr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This stage focuses on efforts to ensure that your offer becomes the applicant’s first or second choice and that they make a firm acceptance of the offer made to them.  </w:t>
            </w: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The focus should be on </w:t>
            </w:r>
            <w:r w:rsidR="004E0685" w:rsidRPr="006064BE">
              <w:rPr>
                <w:rFonts w:asciiTheme="minorHAnsi" w:hAnsiTheme="minorHAnsi" w:cstheme="minorBidi"/>
                <w:sz w:val="20"/>
                <w:szCs w:val="20"/>
              </w:rPr>
              <w:t>providing offer holders with more specific and in depth information about their course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="004E0685"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 This should include </w:t>
            </w:r>
            <w:proofErr w:type="spellStart"/>
            <w:r w:rsidR="004E0685" w:rsidRPr="006064BE">
              <w:rPr>
                <w:rFonts w:asciiTheme="minorHAnsi" w:hAnsiTheme="minorHAnsi" w:cstheme="minorBidi"/>
                <w:sz w:val="20"/>
                <w:szCs w:val="20"/>
              </w:rPr>
              <w:t>personalised</w:t>
            </w:r>
            <w:proofErr w:type="spellEnd"/>
            <w:r w:rsidR="004E0685" w:rsidRPr="006064BE">
              <w:rPr>
                <w:rFonts w:asciiTheme="minorHAnsi" w:hAnsiTheme="minorHAnsi" w:cstheme="minorBidi"/>
                <w:sz w:val="20"/>
                <w:szCs w:val="20"/>
              </w:rPr>
              <w:t>, timely and relevant communication with offer holders and course specific visit days.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</w:p>
          <w:p w:rsidR="00B61864" w:rsidRPr="006064BE" w:rsidRDefault="00B61864" w:rsidP="00AB1BED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EBDFF"/>
          </w:tcPr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Your applicant has now chosen you as their first or second choice.  This stage is about effective communication with the applicant during the confirmation of results period.</w:t>
            </w:r>
          </w:p>
          <w:p w:rsidR="00B61864" w:rsidRPr="006064BE" w:rsidRDefault="00B61864" w:rsidP="00AB1BED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EBDFF"/>
          </w:tcPr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Your applicant has now confirmed their place at the University.  This stage is about making the applicant feel that they are already part of the university and includes pre-arrival communications and welcome week activities.  </w:t>
            </w: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61864" w:rsidRPr="006064BE" w:rsidTr="006064BE">
        <w:trPr>
          <w:trHeight w:val="666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6D9F1"/>
            <w:vAlign w:val="center"/>
          </w:tcPr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Acknowle</w:t>
            </w:r>
            <w:r w:rsidR="00C02327" w:rsidRPr="006064BE">
              <w:rPr>
                <w:rFonts w:asciiTheme="minorHAnsi" w:hAnsiTheme="minorHAnsi" w:cstheme="minorBidi"/>
                <w:sz w:val="20"/>
                <w:szCs w:val="20"/>
              </w:rPr>
              <w:t>dgement of a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pplication</w:t>
            </w:r>
            <w:r w:rsidR="00C02327"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from admissions t</w:t>
            </w:r>
            <w:r w:rsidR="00AB1BED"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eam 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(24 hours from receipt of application)</w:t>
            </w:r>
          </w:p>
          <w:p w:rsidR="00AB1BED" w:rsidRPr="006064BE" w:rsidRDefault="00AB1BED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61864" w:rsidRPr="006064BE" w:rsidRDefault="00AB1BED" w:rsidP="006064B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Formal offe</w:t>
            </w:r>
            <w:r w:rsidR="00C02327" w:rsidRPr="006064BE">
              <w:rPr>
                <w:rFonts w:asciiTheme="minorHAnsi" w:hAnsiTheme="minorHAnsi" w:cstheme="minorBidi"/>
                <w:sz w:val="20"/>
                <w:szCs w:val="20"/>
              </w:rPr>
              <w:t>r letter to UG applicants from admissions t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eam (not including offer conditions).  For UG applicants the formal offer is transmitted via UCAS. 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6D9F1"/>
          </w:tcPr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Accommodation brochure (print) (1 week from offer)</w:t>
            </w: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Ma</w:t>
            </w:r>
            <w:r w:rsidR="00011D38"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nchester  e-advantage (email): </w:t>
            </w:r>
            <w:hyperlink r:id="rId8" w:history="1">
              <w:r w:rsidRPr="006064BE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Refer to Schedule of Applicant Communications 2012-1</w:t>
              </w:r>
              <w:r w:rsidR="003D6851" w:rsidRPr="006064BE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6D9F1"/>
            <w:vAlign w:val="center"/>
          </w:tcPr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Crucial Guide (print)</w:t>
            </w: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444D5A" w:rsidRPr="006064BE" w:rsidRDefault="00444D5A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444D5A" w:rsidRPr="006064BE" w:rsidRDefault="00444D5A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Manchester  e-advantage (email)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C6D9F1"/>
          </w:tcPr>
          <w:p w:rsidR="00AB1BED" w:rsidRPr="006064BE" w:rsidRDefault="00AB1BED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IT sign up and confirm your place</w:t>
            </w:r>
          </w:p>
          <w:p w:rsidR="00AB1BED" w:rsidRPr="006064BE" w:rsidRDefault="00AB1BED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Registration information</w:t>
            </w: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Welcome website</w:t>
            </w:r>
          </w:p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61864" w:rsidRPr="006064BE" w:rsidRDefault="00575BA7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Ask Me c</w:t>
            </w:r>
            <w:r w:rsidR="00B61864" w:rsidRPr="006064BE">
              <w:rPr>
                <w:rFonts w:asciiTheme="minorHAnsi" w:hAnsiTheme="minorHAnsi" w:cstheme="minorBidi"/>
                <w:sz w:val="20"/>
                <w:szCs w:val="20"/>
              </w:rPr>
              <w:t>ampaign</w:t>
            </w:r>
          </w:p>
          <w:p w:rsidR="00444D5A" w:rsidRPr="006064BE" w:rsidRDefault="00444D5A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444D5A" w:rsidRPr="006064BE" w:rsidRDefault="00444D5A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Manchester  e-advantage (email)</w:t>
            </w:r>
          </w:p>
        </w:tc>
      </w:tr>
      <w:tr w:rsidR="00B61864" w:rsidRPr="006064BE" w:rsidTr="006064BE">
        <w:trPr>
          <w:trHeight w:val="666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B61864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All Schools</w:t>
            </w:r>
          </w:p>
          <w:p w:rsidR="008E7969" w:rsidRPr="006064BE" w:rsidRDefault="008E7969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B61864" w:rsidRPr="006064BE" w:rsidRDefault="008E7969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UG offer (formal): 3-5 days from 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receipt of application, unless interviews or additional tests are to take place</w:t>
            </w:r>
            <w:r w:rsidR="00AB1BED"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.  </w:t>
            </w:r>
          </w:p>
          <w:p w:rsidR="008E7969" w:rsidRPr="006064BE" w:rsidRDefault="008E7969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4E0685" w:rsidRPr="006064BE" w:rsidRDefault="004E0685" w:rsidP="00C0232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4E0685" w:rsidRPr="006064BE" w:rsidRDefault="004E0685" w:rsidP="00AB1BED">
            <w:pPr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lastRenderedPageBreak/>
              <w:t>Head of School letter (print or email) (1 week from offer)</w:t>
            </w:r>
          </w:p>
          <w:p w:rsidR="00B61864" w:rsidRPr="006064BE" w:rsidRDefault="004E0685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School Letter (print of email) (3 weeks from offer)</w:t>
            </w:r>
          </w:p>
          <w:p w:rsidR="004E0685" w:rsidRPr="006064BE" w:rsidRDefault="00B61864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School e-bulletin</w:t>
            </w:r>
            <w:r w:rsidR="00C02327"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hyperlink r:id="rId9" w:history="1">
              <w:r w:rsidR="00C02327" w:rsidRPr="006064BE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 xml:space="preserve">Refer to Schedule of Applicant </w:t>
              </w:r>
              <w:r w:rsidR="00C02327" w:rsidRPr="006064BE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lastRenderedPageBreak/>
                <w:t>Communications 2012-13</w:t>
              </w:r>
            </w:hyperlink>
          </w:p>
          <w:p w:rsidR="004E0685" w:rsidRPr="006064BE" w:rsidRDefault="004E0685" w:rsidP="006064B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All schools should </w:t>
            </w:r>
            <w:r w:rsidR="00444D5A" w:rsidRPr="006064BE">
              <w:rPr>
                <w:rFonts w:asciiTheme="minorHAnsi" w:hAnsiTheme="minorHAnsi" w:cstheme="minorBidi"/>
                <w:sz w:val="20"/>
                <w:szCs w:val="20"/>
              </w:rPr>
              <w:t>provide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course specific information to applicants and opportunities to visit the campus.</w:t>
            </w:r>
          </w:p>
          <w:p w:rsidR="004E0685" w:rsidRPr="006064BE" w:rsidRDefault="004E0685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Pos</w:t>
            </w:r>
            <w:r w:rsidR="00444D5A" w:rsidRPr="006064BE">
              <w:rPr>
                <w:rFonts w:asciiTheme="minorHAnsi" w:hAnsiTheme="minorHAnsi" w:cstheme="minorBidi"/>
                <w:sz w:val="20"/>
                <w:szCs w:val="20"/>
              </w:rPr>
              <w:t>t application visit days should</w:t>
            </w:r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include:</w:t>
            </w:r>
          </w:p>
          <w:p w:rsidR="00444D5A" w:rsidRPr="006064BE" w:rsidRDefault="00444D5A" w:rsidP="00AB1BED">
            <w:pPr>
              <w:numPr>
                <w:ilvl w:val="1"/>
                <w:numId w:val="3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promotion of key features of the course via subject specific talk</w:t>
            </w:r>
          </w:p>
          <w:p w:rsidR="00444D5A" w:rsidRPr="006064BE" w:rsidRDefault="00444D5A" w:rsidP="00AB1BED">
            <w:pPr>
              <w:numPr>
                <w:ilvl w:val="1"/>
                <w:numId w:val="3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opportunities for academic engagement</w:t>
            </w:r>
          </w:p>
          <w:p w:rsidR="00444D5A" w:rsidRPr="006064BE" w:rsidRDefault="00444D5A" w:rsidP="00AB1BED">
            <w:pPr>
              <w:numPr>
                <w:ilvl w:val="1"/>
                <w:numId w:val="3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opportunities to speak to Student Ambassadors</w:t>
            </w:r>
          </w:p>
          <w:p w:rsidR="00444D5A" w:rsidRPr="006064BE" w:rsidRDefault="00444D5A" w:rsidP="00AB1BED">
            <w:pPr>
              <w:numPr>
                <w:ilvl w:val="1"/>
                <w:numId w:val="3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t>parents information/session</w:t>
            </w:r>
          </w:p>
          <w:p w:rsidR="00444D5A" w:rsidRPr="006064BE" w:rsidRDefault="00444D5A" w:rsidP="00AB1BED">
            <w:pPr>
              <w:numPr>
                <w:ilvl w:val="1"/>
                <w:numId w:val="3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proofErr w:type="gramStart"/>
            <w:r w:rsidRPr="006064BE">
              <w:rPr>
                <w:rFonts w:asciiTheme="minorHAnsi" w:hAnsiTheme="minorHAnsi" w:cstheme="minorBidi"/>
                <w:sz w:val="20"/>
                <w:szCs w:val="20"/>
              </w:rPr>
              <w:t>campus</w:t>
            </w:r>
            <w:proofErr w:type="gramEnd"/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and/or accommodation tours.  </w:t>
            </w:r>
          </w:p>
          <w:p w:rsidR="00AE2DA3" w:rsidRPr="006064BE" w:rsidRDefault="00AE2DA3" w:rsidP="00AB1BED">
            <w:pPr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:rsidR="00AE2DA3" w:rsidRPr="006064BE" w:rsidRDefault="00C02327" w:rsidP="006064BE">
            <w:pPr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sz w:val="20"/>
                <w:szCs w:val="20"/>
              </w:rPr>
              <w:t>RAID</w:t>
            </w:r>
            <w:r w:rsidR="006064B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intranet</w:t>
            </w:r>
            <w:r w:rsidR="00E93C97" w:rsidRPr="006064B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r</w:t>
            </w:r>
            <w:r w:rsidR="00AE2DA3" w:rsidRPr="006064BE">
              <w:rPr>
                <w:rFonts w:asciiTheme="minorHAnsi" w:hAnsiTheme="minorHAnsi" w:cstheme="minorBidi"/>
                <w:b/>
                <w:sz w:val="20"/>
                <w:szCs w:val="20"/>
              </w:rPr>
              <w:t>esources</w:t>
            </w:r>
            <w:r w:rsidR="006064B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available</w:t>
            </w:r>
            <w:r w:rsidR="00AE2DA3" w:rsidRPr="006064BE">
              <w:rPr>
                <w:rFonts w:asciiTheme="minorHAnsi" w:hAnsiTheme="minorHAnsi" w:cstheme="minorBidi"/>
                <w:b/>
                <w:sz w:val="20"/>
                <w:szCs w:val="20"/>
              </w:rPr>
              <w:t>:</w:t>
            </w:r>
          </w:p>
          <w:p w:rsidR="00011D38" w:rsidRPr="006064BE" w:rsidRDefault="005A2DEB" w:rsidP="00AB1BE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hyperlink r:id="rId10" w:history="1">
              <w:r w:rsidR="00AE2DA3" w:rsidRPr="006064BE">
                <w:rPr>
                  <w:rStyle w:val="Hyperlink"/>
                  <w:rFonts w:asciiTheme="minorHAnsi" w:hAnsiTheme="minorHAnsi" w:cstheme="minorBidi"/>
                  <w:bCs/>
                  <w:sz w:val="20"/>
                  <w:szCs w:val="20"/>
                </w:rPr>
                <w:t>Social Media Guidance for University of Manchester Staff</w:t>
              </w:r>
            </w:hyperlink>
            <w:r w:rsidR="00E41667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</w:t>
            </w:r>
          </w:p>
          <w:p w:rsidR="00AE2DA3" w:rsidRPr="006064BE" w:rsidRDefault="005A2DEB" w:rsidP="00011D3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hyperlink r:id="rId11" w:history="1">
              <w:r w:rsidR="00011D38" w:rsidRPr="006064BE">
                <w:rPr>
                  <w:rStyle w:val="Hyperlink"/>
                  <w:rFonts w:asciiTheme="minorHAnsi" w:hAnsiTheme="minorHAnsi" w:cstheme="minorBidi"/>
                  <w:bCs/>
                  <w:sz w:val="20"/>
                  <w:szCs w:val="20"/>
                </w:rPr>
                <w:t xml:space="preserve">Student Ambassador </w:t>
              </w:r>
              <w:r w:rsidR="00AE2DA3" w:rsidRPr="006064BE">
                <w:rPr>
                  <w:rStyle w:val="Hyperlink"/>
                  <w:rFonts w:asciiTheme="minorHAnsi" w:hAnsiTheme="minorHAnsi" w:cstheme="minorBidi"/>
                  <w:bCs/>
                  <w:sz w:val="20"/>
                  <w:szCs w:val="20"/>
                </w:rPr>
                <w:t>Toolkit</w:t>
              </w:r>
            </w:hyperlink>
            <w:r w:rsidR="000B232E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.  There is also a </w:t>
            </w:r>
            <w:hyperlink r:id="rId12" w:history="1">
              <w:r w:rsidR="000B232E" w:rsidRPr="006064BE">
                <w:rPr>
                  <w:rStyle w:val="Hyperlink"/>
                  <w:rFonts w:asciiTheme="minorHAnsi" w:hAnsiTheme="minorHAnsi" w:cstheme="minorBidi"/>
                  <w:bCs/>
                  <w:sz w:val="20"/>
                  <w:szCs w:val="20"/>
                </w:rPr>
                <w:t>PowerPoint presentation</w:t>
              </w:r>
            </w:hyperlink>
            <w:r w:rsidR="000B232E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to help facilitate a student led session as part of a visit day.</w:t>
            </w:r>
            <w:r w:rsidR="00AE2DA3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</w:t>
            </w:r>
          </w:p>
          <w:p w:rsidR="00C02327" w:rsidRPr="006064BE" w:rsidRDefault="00AE2DA3" w:rsidP="00011D3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Parents Presentation for visit days</w:t>
            </w:r>
            <w:r w:rsidR="00364104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</w:t>
            </w: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available from </w:t>
            </w:r>
            <w:hyperlink r:id="rId13" w:history="1">
              <w:r w:rsidRPr="006064BE">
                <w:rPr>
                  <w:rStyle w:val="Hyperlink"/>
                  <w:rFonts w:asciiTheme="minorHAnsi" w:hAnsiTheme="minorHAnsi" w:cstheme="minorBidi"/>
                  <w:bCs/>
                  <w:color w:val="auto"/>
                  <w:sz w:val="20"/>
                  <w:szCs w:val="20"/>
                </w:rPr>
                <w:t>Heidi.Page@manchester.ac.uk</w:t>
              </w:r>
            </w:hyperlink>
            <w:r w:rsidR="00C02327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</w:t>
            </w:r>
          </w:p>
          <w:p w:rsidR="00AE2DA3" w:rsidRPr="006064BE" w:rsidRDefault="00C02327" w:rsidP="00862F8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Post application visit day ac</w:t>
            </w:r>
            <w:r w:rsidR="00862F82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commodation tours (on request</w:t>
            </w: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): Please contact </w:t>
            </w:r>
            <w:hyperlink r:id="rId14" w:history="1">
              <w:r w:rsidRPr="006064BE">
                <w:rPr>
                  <w:rStyle w:val="Hyperlink"/>
                  <w:rFonts w:asciiTheme="minorHAnsi" w:hAnsiTheme="minorHAnsi" w:cstheme="minorBidi"/>
                  <w:bCs/>
                  <w:color w:val="auto"/>
                  <w:sz w:val="20"/>
                  <w:szCs w:val="20"/>
                </w:rPr>
                <w:t>Rebecca.Lee@manchester.ac.uk</w:t>
              </w:r>
            </w:hyperlink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for further information</w:t>
            </w:r>
          </w:p>
          <w:p w:rsidR="00C02327" w:rsidRPr="006064BE" w:rsidRDefault="00C02327" w:rsidP="00C02327">
            <w:pPr>
              <w:ind w:left="36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Upcoming RAID resources to support academic schools:</w:t>
            </w:r>
          </w:p>
          <w:p w:rsidR="00AE2DA3" w:rsidRPr="006064BE" w:rsidRDefault="00AE2DA3" w:rsidP="00AB1BE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Toolkit for post application visit days (</w:t>
            </w:r>
            <w:r w:rsidR="001D154A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to follow</w:t>
            </w: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)</w:t>
            </w:r>
          </w:p>
          <w:p w:rsidR="004E0685" w:rsidRPr="006064BE" w:rsidRDefault="006064BE" w:rsidP="00C0232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Cs/>
                <w:sz w:val="20"/>
                <w:szCs w:val="20"/>
              </w:rPr>
              <w:t>Example PowerPoint t</w:t>
            </w:r>
            <w:r w:rsidR="00AE2DA3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emplates for</w:t>
            </w:r>
            <w:r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subject specific t</w:t>
            </w:r>
            <w:r w:rsidR="00AE2DA3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alks (</w:t>
            </w:r>
            <w:r w:rsidR="001D154A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to follow</w:t>
            </w:r>
            <w:bookmarkStart w:id="0" w:name="_GoBack"/>
            <w:bookmarkEnd w:id="0"/>
            <w:r w:rsidR="00AE2DA3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B61864" w:rsidRPr="006064BE" w:rsidRDefault="00444D5A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All Schools to maintain a </w:t>
            </w:r>
            <w:proofErr w:type="spellStart"/>
            <w:r w:rsidRPr="006064BE">
              <w:rPr>
                <w:rFonts w:asciiTheme="minorHAnsi" w:hAnsiTheme="minorHAnsi" w:cstheme="minorBidi"/>
                <w:sz w:val="20"/>
                <w:szCs w:val="20"/>
              </w:rPr>
              <w:t>personalised</w:t>
            </w:r>
            <w:proofErr w:type="spellEnd"/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communication strategy.</w:t>
            </w:r>
          </w:p>
          <w:p w:rsidR="00444D5A" w:rsidRPr="006064BE" w:rsidRDefault="00444D5A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School e-bulletin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444D5A" w:rsidRPr="006064BE" w:rsidRDefault="00444D5A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All Schools to maintain a </w:t>
            </w:r>
            <w:proofErr w:type="spellStart"/>
            <w:r w:rsidRPr="006064BE">
              <w:rPr>
                <w:rFonts w:asciiTheme="minorHAnsi" w:hAnsiTheme="minorHAnsi" w:cstheme="minorBidi"/>
                <w:sz w:val="20"/>
                <w:szCs w:val="20"/>
              </w:rPr>
              <w:t>personalised</w:t>
            </w:r>
            <w:proofErr w:type="spellEnd"/>
            <w:r w:rsidRPr="006064BE">
              <w:rPr>
                <w:rFonts w:asciiTheme="minorHAnsi" w:hAnsiTheme="minorHAnsi" w:cstheme="minorBidi"/>
                <w:sz w:val="20"/>
                <w:szCs w:val="20"/>
              </w:rPr>
              <w:t xml:space="preserve"> communication strategy.</w:t>
            </w:r>
          </w:p>
          <w:p w:rsidR="00444D5A" w:rsidRPr="006064BE" w:rsidRDefault="00444D5A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School e-bulletin</w:t>
            </w:r>
          </w:p>
          <w:p w:rsidR="00B61864" w:rsidRPr="006064BE" w:rsidRDefault="00444D5A" w:rsidP="00AB1BED">
            <w:pPr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Pre-arrival communication via post or email</w:t>
            </w:r>
          </w:p>
          <w:p w:rsidR="00444D5A" w:rsidRPr="006064BE" w:rsidRDefault="00444D5A" w:rsidP="00AB1BE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Student welcome week activities and student induction</w:t>
            </w:r>
          </w:p>
        </w:tc>
      </w:tr>
      <w:tr w:rsidR="00FD60A4" w:rsidRPr="006064BE" w:rsidTr="006064BE">
        <w:trPr>
          <w:trHeight w:val="435"/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79646"/>
          </w:tcPr>
          <w:p w:rsidR="00AE2DA3" w:rsidRPr="006064BE" w:rsidRDefault="00AE2DA3" w:rsidP="00AB1BED">
            <w:pPr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/>
                <w:sz w:val="20"/>
                <w:szCs w:val="20"/>
              </w:rPr>
              <w:lastRenderedPageBreak/>
              <w:t>Further University-wide recruitment activity:</w:t>
            </w:r>
          </w:p>
          <w:p w:rsidR="00FD60A4" w:rsidRPr="006064BE" w:rsidRDefault="00FD60A4" w:rsidP="00AB1BED">
            <w:pPr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Wednesday Accommodation Tours</w:t>
            </w:r>
            <w:r w:rsidR="00F47CDD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&amp; Guided Visits: </w:t>
            </w:r>
            <w:hyperlink r:id="rId15" w:history="1">
              <w:r w:rsidR="00F47CDD" w:rsidRPr="006064BE">
                <w:rPr>
                  <w:rStyle w:val="Hyperlink"/>
                  <w:rFonts w:asciiTheme="minorHAnsi" w:hAnsiTheme="minorHAnsi" w:cstheme="minorBidi"/>
                  <w:bCs/>
                  <w:color w:val="auto"/>
                  <w:sz w:val="20"/>
                  <w:szCs w:val="20"/>
                </w:rPr>
                <w:t>http://www.manchester.ac.uk/undergraduate/opendays/other-visits/</w:t>
              </w:r>
            </w:hyperlink>
            <w:r w:rsidR="00F47CDD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 </w:t>
            </w:r>
            <w:r w:rsidR="007A7354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(under review for conversion activity)</w:t>
            </w:r>
            <w:r w:rsidR="00F47CDD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</w:t>
            </w:r>
          </w:p>
          <w:p w:rsidR="00FD60A4" w:rsidRPr="006064BE" w:rsidRDefault="00FD60A4" w:rsidP="00AB1BED">
            <w:pPr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University wide Open Days (June &amp; October)</w:t>
            </w:r>
            <w:r w:rsidR="00F47CDD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: </w:t>
            </w:r>
            <w:hyperlink r:id="rId16" w:history="1">
              <w:r w:rsidR="00F47CDD" w:rsidRPr="006064BE">
                <w:rPr>
                  <w:rStyle w:val="Hyperlink"/>
                  <w:rFonts w:asciiTheme="minorHAnsi" w:hAnsiTheme="minorHAnsi" w:cstheme="minorBidi"/>
                  <w:bCs/>
                  <w:sz w:val="20"/>
                  <w:szCs w:val="20"/>
                </w:rPr>
                <w:t>http://www.manchester.ac.uk/undergraduate/opendays/</w:t>
              </w:r>
            </w:hyperlink>
            <w:r w:rsidR="00F47CDD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 </w:t>
            </w:r>
          </w:p>
          <w:p w:rsidR="00FD60A4" w:rsidRPr="006064BE" w:rsidRDefault="00FD60A4" w:rsidP="00AB1BED">
            <w:pPr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>Schools and Colleges visits (both on and off campus)</w:t>
            </w:r>
            <w:r w:rsidR="00F47CDD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: </w:t>
            </w:r>
            <w:hyperlink r:id="rId17" w:history="1">
              <w:r w:rsidR="00F47CDD" w:rsidRPr="006064BE">
                <w:rPr>
                  <w:rStyle w:val="Hyperlink"/>
                  <w:rFonts w:asciiTheme="minorHAnsi" w:hAnsiTheme="minorHAnsi" w:cstheme="minorBidi"/>
                  <w:bCs/>
                  <w:sz w:val="20"/>
                  <w:szCs w:val="20"/>
                </w:rPr>
                <w:t>http://www.manchester.ac.uk/undergraduate/schoolsandcolleges/</w:t>
              </w:r>
            </w:hyperlink>
            <w:r w:rsidR="00F47CDD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</w:t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t xml:space="preserve">  uided Visits: ent and Widening Participation Team</w:t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vanish/>
                <w:sz w:val="20"/>
                <w:szCs w:val="20"/>
              </w:rPr>
              <w:pgNum/>
            </w:r>
            <w:r w:rsidR="00F47CDD"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</w:t>
            </w:r>
          </w:p>
          <w:p w:rsidR="00F426EF" w:rsidRPr="006064BE" w:rsidRDefault="00DA11DD" w:rsidP="00AB1BED">
            <w:pPr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University of Manchester Aspiring Students’ Society: </w:t>
            </w:r>
            <w:hyperlink r:id="rId18" w:history="1">
              <w:r w:rsidRPr="006064BE">
                <w:rPr>
                  <w:rStyle w:val="Hyperlink"/>
                  <w:rFonts w:asciiTheme="minorHAnsi" w:hAnsiTheme="minorHAnsi" w:cstheme="minorBidi"/>
                  <w:bCs/>
                  <w:sz w:val="20"/>
                  <w:szCs w:val="20"/>
                </w:rPr>
                <w:t>http://www.umass.manchester.ac.uk/</w:t>
              </w:r>
            </w:hyperlink>
            <w:r w:rsidRPr="006064BE">
              <w:rPr>
                <w:rFonts w:asciiTheme="minorHAnsi" w:hAnsiTheme="minorHAnsi" w:cstheme="minorBi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79646"/>
          </w:tcPr>
          <w:p w:rsidR="00FD60A4" w:rsidRPr="006064BE" w:rsidRDefault="00FD60A4" w:rsidP="00AB1BED">
            <w:pPr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</w:tr>
    </w:tbl>
    <w:p w:rsidR="00E73629" w:rsidRPr="00D64F98" w:rsidRDefault="00E73629" w:rsidP="006064BE">
      <w:pPr>
        <w:rPr>
          <w:rFonts w:asciiTheme="minorBidi" w:hAnsiTheme="minorBidi" w:cstheme="minorBidi"/>
          <w:sz w:val="20"/>
          <w:szCs w:val="20"/>
        </w:rPr>
      </w:pPr>
    </w:p>
    <w:sectPr w:rsidR="00E73629" w:rsidRPr="00D64F98" w:rsidSect="00D119CF">
      <w:headerReference w:type="default" r:id="rId19"/>
      <w:footerReference w:type="default" r:id="rId20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9CF" w:rsidRDefault="00D119CF" w:rsidP="00D119CF">
      <w:r>
        <w:separator/>
      </w:r>
    </w:p>
  </w:endnote>
  <w:endnote w:type="continuationSeparator" w:id="0">
    <w:p w:rsidR="00D119CF" w:rsidRDefault="00D119CF" w:rsidP="00D11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</w:rPr>
      <w:id w:val="46252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565050523"/>
          <w:docPartObj>
            <w:docPartGallery w:val="Page Numbers (Top of Page)"/>
            <w:docPartUnique/>
          </w:docPartObj>
        </w:sdtPr>
        <w:sdtContent>
          <w:p w:rsidR="00D119CF" w:rsidRPr="00D119CF" w:rsidRDefault="00D119CF">
            <w:pPr>
              <w:pStyle w:val="Footer"/>
              <w:jc w:val="right"/>
              <w:rPr>
                <w:rFonts w:asciiTheme="minorHAnsi" w:hAnsiTheme="minorHAnsi"/>
              </w:rPr>
            </w:pPr>
            <w:r w:rsidRPr="00D119CF">
              <w:rPr>
                <w:rFonts w:asciiTheme="minorHAnsi" w:hAnsiTheme="minorHAnsi"/>
              </w:rPr>
              <w:t xml:space="preserve">Page </w:t>
            </w:r>
            <w:r w:rsidRPr="00D119CF">
              <w:rPr>
                <w:rFonts w:asciiTheme="minorHAnsi" w:hAnsiTheme="minorHAnsi"/>
                <w:b/>
              </w:rPr>
              <w:fldChar w:fldCharType="begin"/>
            </w:r>
            <w:r w:rsidRPr="00D119CF">
              <w:rPr>
                <w:rFonts w:asciiTheme="minorHAnsi" w:hAnsiTheme="minorHAnsi"/>
                <w:b/>
              </w:rPr>
              <w:instrText xml:space="preserve"> PAGE </w:instrText>
            </w:r>
            <w:r w:rsidRPr="00D119CF">
              <w:rPr>
                <w:rFonts w:asciiTheme="minorHAnsi" w:hAnsiTheme="minorHAnsi"/>
                <w:b/>
              </w:rPr>
              <w:fldChar w:fldCharType="separate"/>
            </w:r>
            <w:r w:rsidR="007350B4">
              <w:rPr>
                <w:rFonts w:asciiTheme="minorHAnsi" w:hAnsiTheme="minorHAnsi"/>
                <w:b/>
                <w:noProof/>
              </w:rPr>
              <w:t>2</w:t>
            </w:r>
            <w:r w:rsidRPr="00D119CF">
              <w:rPr>
                <w:rFonts w:asciiTheme="minorHAnsi" w:hAnsiTheme="minorHAnsi"/>
                <w:b/>
              </w:rPr>
              <w:fldChar w:fldCharType="end"/>
            </w:r>
            <w:r w:rsidRPr="00D119CF">
              <w:rPr>
                <w:rFonts w:asciiTheme="minorHAnsi" w:hAnsiTheme="minorHAnsi"/>
              </w:rPr>
              <w:t xml:space="preserve"> of </w:t>
            </w:r>
            <w:r w:rsidRPr="00D119CF">
              <w:rPr>
                <w:rFonts w:asciiTheme="minorHAnsi" w:hAnsiTheme="minorHAnsi"/>
                <w:b/>
              </w:rPr>
              <w:fldChar w:fldCharType="begin"/>
            </w:r>
            <w:r w:rsidRPr="00D119CF">
              <w:rPr>
                <w:rFonts w:asciiTheme="minorHAnsi" w:hAnsiTheme="minorHAnsi"/>
                <w:b/>
              </w:rPr>
              <w:instrText xml:space="preserve"> NUMPAGES  </w:instrText>
            </w:r>
            <w:r w:rsidRPr="00D119CF">
              <w:rPr>
                <w:rFonts w:asciiTheme="minorHAnsi" w:hAnsiTheme="minorHAnsi"/>
                <w:b/>
              </w:rPr>
              <w:fldChar w:fldCharType="separate"/>
            </w:r>
            <w:r w:rsidR="007350B4">
              <w:rPr>
                <w:rFonts w:asciiTheme="minorHAnsi" w:hAnsiTheme="minorHAnsi"/>
                <w:b/>
                <w:noProof/>
              </w:rPr>
              <w:t>2</w:t>
            </w:r>
            <w:r w:rsidRPr="00D119CF">
              <w:rPr>
                <w:rFonts w:asciiTheme="minorHAnsi" w:hAnsiTheme="minorHAnsi"/>
                <w:b/>
              </w:rPr>
              <w:fldChar w:fldCharType="end"/>
            </w:r>
          </w:p>
        </w:sdtContent>
      </w:sdt>
    </w:sdtContent>
  </w:sdt>
  <w:p w:rsidR="00D119CF" w:rsidRPr="00D119CF" w:rsidRDefault="00D119CF">
    <w:pPr>
      <w:pStyle w:val="Foo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9CF" w:rsidRDefault="00D119CF" w:rsidP="00D119CF">
      <w:r>
        <w:separator/>
      </w:r>
    </w:p>
  </w:footnote>
  <w:footnote w:type="continuationSeparator" w:id="0">
    <w:p w:rsidR="00D119CF" w:rsidRDefault="00D119CF" w:rsidP="00D11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CF" w:rsidRPr="00D119CF" w:rsidRDefault="00D119CF" w:rsidP="00D119CF">
    <w:pPr>
      <w:pStyle w:val="Header"/>
      <w:pBdr>
        <w:bottom w:val="single" w:sz="4" w:space="1" w:color="auto"/>
      </w:pBdr>
      <w:jc w:val="right"/>
      <w:rPr>
        <w:rFonts w:asciiTheme="minorHAnsi" w:hAnsiTheme="minorHAnsi"/>
        <w:lang w:val="en-GB"/>
      </w:rPr>
    </w:pPr>
    <w:r w:rsidRPr="00D119CF">
      <w:rPr>
        <w:rFonts w:asciiTheme="minorHAnsi" w:hAnsiTheme="minorHAnsi"/>
        <w:b/>
        <w:bCs/>
        <w:lang w:val="en-GB"/>
      </w:rPr>
      <w:t>Circulated:</w:t>
    </w:r>
    <w:r w:rsidRPr="00D119CF">
      <w:rPr>
        <w:rFonts w:asciiTheme="minorHAnsi" w:hAnsiTheme="minorHAnsi"/>
        <w:lang w:val="en-GB"/>
      </w:rPr>
      <w:t xml:space="preserve"> UG R&amp;A Network </w:t>
    </w:r>
    <w:r w:rsidRPr="00D119CF">
      <w:rPr>
        <w:rFonts w:asciiTheme="minorHAnsi" w:hAnsiTheme="minorHAnsi"/>
        <w:b/>
        <w:bCs/>
        <w:lang w:val="en-GB"/>
      </w:rPr>
      <w:t>Date:</w:t>
    </w:r>
    <w:r w:rsidRPr="00D119CF">
      <w:rPr>
        <w:rFonts w:asciiTheme="minorHAnsi" w:hAnsiTheme="minorHAnsi"/>
        <w:lang w:val="en-GB"/>
      </w:rPr>
      <w:t xml:space="preserve"> November 2012 </w:t>
    </w:r>
    <w:r w:rsidRPr="00D119CF">
      <w:rPr>
        <w:rFonts w:asciiTheme="minorHAnsi" w:hAnsiTheme="minorHAnsi"/>
        <w:b/>
        <w:bCs/>
        <w:lang w:val="en-GB"/>
      </w:rPr>
      <w:t>Enquiries:</w:t>
    </w:r>
    <w:r w:rsidRPr="00D119CF">
      <w:rPr>
        <w:rFonts w:asciiTheme="minorHAnsi" w:hAnsiTheme="minorHAnsi"/>
        <w:lang w:val="en-GB"/>
      </w:rPr>
      <w:t xml:space="preserve"> Alyssa Phillips, UG Recruitment and WP Manager Extension: 58839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29E"/>
    <w:multiLevelType w:val="hybridMultilevel"/>
    <w:tmpl w:val="EE00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FA098B"/>
    <w:multiLevelType w:val="hybridMultilevel"/>
    <w:tmpl w:val="A058E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BD0827"/>
    <w:multiLevelType w:val="hybridMultilevel"/>
    <w:tmpl w:val="E1480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83CAE"/>
    <w:multiLevelType w:val="hybridMultilevel"/>
    <w:tmpl w:val="6562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B06567"/>
    <w:rsid w:val="0001056F"/>
    <w:rsid w:val="00011D38"/>
    <w:rsid w:val="0002474A"/>
    <w:rsid w:val="00033B1E"/>
    <w:rsid w:val="000536E5"/>
    <w:rsid w:val="000B232E"/>
    <w:rsid w:val="000B2613"/>
    <w:rsid w:val="000C6C46"/>
    <w:rsid w:val="000D07A0"/>
    <w:rsid w:val="000D29C5"/>
    <w:rsid w:val="000F4FF6"/>
    <w:rsid w:val="00114527"/>
    <w:rsid w:val="0012277A"/>
    <w:rsid w:val="00122E64"/>
    <w:rsid w:val="00130CD9"/>
    <w:rsid w:val="00137AC6"/>
    <w:rsid w:val="00154171"/>
    <w:rsid w:val="00173B7F"/>
    <w:rsid w:val="001B7635"/>
    <w:rsid w:val="001C5B28"/>
    <w:rsid w:val="001C7F59"/>
    <w:rsid w:val="001D154A"/>
    <w:rsid w:val="001E11E1"/>
    <w:rsid w:val="00200BEA"/>
    <w:rsid w:val="00217A60"/>
    <w:rsid w:val="00247D15"/>
    <w:rsid w:val="00260F4D"/>
    <w:rsid w:val="00281E12"/>
    <w:rsid w:val="00285209"/>
    <w:rsid w:val="002B54C6"/>
    <w:rsid w:val="002C11CA"/>
    <w:rsid w:val="002E02BA"/>
    <w:rsid w:val="002E7D6A"/>
    <w:rsid w:val="002F2D23"/>
    <w:rsid w:val="00313CD1"/>
    <w:rsid w:val="00327075"/>
    <w:rsid w:val="00340452"/>
    <w:rsid w:val="00347C7C"/>
    <w:rsid w:val="00355158"/>
    <w:rsid w:val="00355DBB"/>
    <w:rsid w:val="00364104"/>
    <w:rsid w:val="0037714E"/>
    <w:rsid w:val="003C6BEC"/>
    <w:rsid w:val="003D4A47"/>
    <w:rsid w:val="003D6851"/>
    <w:rsid w:val="003E0C11"/>
    <w:rsid w:val="003E6054"/>
    <w:rsid w:val="00444D5A"/>
    <w:rsid w:val="00463BA3"/>
    <w:rsid w:val="004973AE"/>
    <w:rsid w:val="004D1D93"/>
    <w:rsid w:val="004E0685"/>
    <w:rsid w:val="004E38A2"/>
    <w:rsid w:val="00514E9F"/>
    <w:rsid w:val="00517BDD"/>
    <w:rsid w:val="00525365"/>
    <w:rsid w:val="00531E8D"/>
    <w:rsid w:val="005342C7"/>
    <w:rsid w:val="005408B5"/>
    <w:rsid w:val="00554022"/>
    <w:rsid w:val="00572AD1"/>
    <w:rsid w:val="00574562"/>
    <w:rsid w:val="00575BA7"/>
    <w:rsid w:val="00576051"/>
    <w:rsid w:val="005939A0"/>
    <w:rsid w:val="005A2DEB"/>
    <w:rsid w:val="005A365E"/>
    <w:rsid w:val="005A54DE"/>
    <w:rsid w:val="00600F11"/>
    <w:rsid w:val="006064BE"/>
    <w:rsid w:val="00610423"/>
    <w:rsid w:val="00613A45"/>
    <w:rsid w:val="0063299C"/>
    <w:rsid w:val="00636C4D"/>
    <w:rsid w:val="00662A60"/>
    <w:rsid w:val="00665889"/>
    <w:rsid w:val="006708B1"/>
    <w:rsid w:val="00677F3E"/>
    <w:rsid w:val="006A1319"/>
    <w:rsid w:val="006A7071"/>
    <w:rsid w:val="006A7E6C"/>
    <w:rsid w:val="006B6664"/>
    <w:rsid w:val="006C4ACB"/>
    <w:rsid w:val="006C6E8C"/>
    <w:rsid w:val="006D2F50"/>
    <w:rsid w:val="006D41AB"/>
    <w:rsid w:val="006D7CCD"/>
    <w:rsid w:val="006E2D0F"/>
    <w:rsid w:val="00717FF1"/>
    <w:rsid w:val="007350B4"/>
    <w:rsid w:val="007464D7"/>
    <w:rsid w:val="00751FBC"/>
    <w:rsid w:val="00752253"/>
    <w:rsid w:val="00791E19"/>
    <w:rsid w:val="007949D8"/>
    <w:rsid w:val="007961C5"/>
    <w:rsid w:val="007A3B7F"/>
    <w:rsid w:val="007A7354"/>
    <w:rsid w:val="007A7E85"/>
    <w:rsid w:val="007B79D9"/>
    <w:rsid w:val="007C2EEC"/>
    <w:rsid w:val="007C6BC7"/>
    <w:rsid w:val="007D4138"/>
    <w:rsid w:val="007E035A"/>
    <w:rsid w:val="007E6BC4"/>
    <w:rsid w:val="007F0B07"/>
    <w:rsid w:val="007F145B"/>
    <w:rsid w:val="007F4899"/>
    <w:rsid w:val="00814465"/>
    <w:rsid w:val="00837E54"/>
    <w:rsid w:val="00862F82"/>
    <w:rsid w:val="008B2B93"/>
    <w:rsid w:val="008B75F0"/>
    <w:rsid w:val="008E7969"/>
    <w:rsid w:val="008F5784"/>
    <w:rsid w:val="009318D1"/>
    <w:rsid w:val="00935563"/>
    <w:rsid w:val="0096273B"/>
    <w:rsid w:val="00963302"/>
    <w:rsid w:val="00983A9F"/>
    <w:rsid w:val="0099470F"/>
    <w:rsid w:val="00996A9E"/>
    <w:rsid w:val="009975BE"/>
    <w:rsid w:val="00A003DF"/>
    <w:rsid w:val="00A1475C"/>
    <w:rsid w:val="00A25884"/>
    <w:rsid w:val="00A258B6"/>
    <w:rsid w:val="00A43DD4"/>
    <w:rsid w:val="00A45829"/>
    <w:rsid w:val="00A837C2"/>
    <w:rsid w:val="00A96BC7"/>
    <w:rsid w:val="00AA739A"/>
    <w:rsid w:val="00AB1BED"/>
    <w:rsid w:val="00AB1D67"/>
    <w:rsid w:val="00AE2DA3"/>
    <w:rsid w:val="00AF7C8A"/>
    <w:rsid w:val="00B06567"/>
    <w:rsid w:val="00B31F2E"/>
    <w:rsid w:val="00B50526"/>
    <w:rsid w:val="00B61864"/>
    <w:rsid w:val="00B63DBB"/>
    <w:rsid w:val="00B92404"/>
    <w:rsid w:val="00BB3FB6"/>
    <w:rsid w:val="00BC6345"/>
    <w:rsid w:val="00BF49EE"/>
    <w:rsid w:val="00C01100"/>
    <w:rsid w:val="00C02327"/>
    <w:rsid w:val="00C12240"/>
    <w:rsid w:val="00C33C02"/>
    <w:rsid w:val="00C6476E"/>
    <w:rsid w:val="00C74730"/>
    <w:rsid w:val="00C93B05"/>
    <w:rsid w:val="00CC6373"/>
    <w:rsid w:val="00CD6EAC"/>
    <w:rsid w:val="00CF4E5B"/>
    <w:rsid w:val="00D0310C"/>
    <w:rsid w:val="00D0485E"/>
    <w:rsid w:val="00D119CF"/>
    <w:rsid w:val="00D11F83"/>
    <w:rsid w:val="00D4483D"/>
    <w:rsid w:val="00D4505A"/>
    <w:rsid w:val="00D54DA9"/>
    <w:rsid w:val="00D649D5"/>
    <w:rsid w:val="00D64F98"/>
    <w:rsid w:val="00DA11DD"/>
    <w:rsid w:val="00DA60EF"/>
    <w:rsid w:val="00DA7433"/>
    <w:rsid w:val="00DB23D2"/>
    <w:rsid w:val="00DB4CFD"/>
    <w:rsid w:val="00DB5D82"/>
    <w:rsid w:val="00DC1807"/>
    <w:rsid w:val="00DD3A5F"/>
    <w:rsid w:val="00DE0000"/>
    <w:rsid w:val="00DE5F91"/>
    <w:rsid w:val="00DF0554"/>
    <w:rsid w:val="00E1124B"/>
    <w:rsid w:val="00E27B2F"/>
    <w:rsid w:val="00E41667"/>
    <w:rsid w:val="00E4218F"/>
    <w:rsid w:val="00E73629"/>
    <w:rsid w:val="00E83D01"/>
    <w:rsid w:val="00E93C97"/>
    <w:rsid w:val="00E95998"/>
    <w:rsid w:val="00EA0F62"/>
    <w:rsid w:val="00EC6DCC"/>
    <w:rsid w:val="00EF030E"/>
    <w:rsid w:val="00EF591D"/>
    <w:rsid w:val="00F02FD1"/>
    <w:rsid w:val="00F06739"/>
    <w:rsid w:val="00F14065"/>
    <w:rsid w:val="00F353BC"/>
    <w:rsid w:val="00F426EF"/>
    <w:rsid w:val="00F42DDA"/>
    <w:rsid w:val="00F47CDD"/>
    <w:rsid w:val="00F60275"/>
    <w:rsid w:val="00F63545"/>
    <w:rsid w:val="00F9594E"/>
    <w:rsid w:val="00FD3648"/>
    <w:rsid w:val="00FD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6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6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F145B"/>
    <w:pPr>
      <w:ind w:left="720"/>
    </w:pPr>
  </w:style>
  <w:style w:type="table" w:styleId="TableGrid">
    <w:name w:val="Table Grid"/>
    <w:basedOn w:val="TableNormal"/>
    <w:uiPriority w:val="59"/>
    <w:rsid w:val="00B50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7C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3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3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3D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3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3D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232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9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9C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9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9CF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6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6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F145B"/>
    <w:pPr>
      <w:ind w:left="720"/>
    </w:pPr>
  </w:style>
  <w:style w:type="table" w:styleId="TableGrid">
    <w:name w:val="Table Grid"/>
    <w:basedOn w:val="TableNormal"/>
    <w:uiPriority w:val="59"/>
    <w:rsid w:val="00B50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7C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3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3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3D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3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3D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ws.manchester.ac.uk/ukassets/images/441/Scheduleofconversioncommunications2012-13.pdf" TargetMode="External"/><Relationship Id="rId13" Type="http://schemas.openxmlformats.org/officeDocument/2006/relationships/hyperlink" Target="mailto:Heidi.Page@manchester.ac.uk" TargetMode="External"/><Relationship Id="rId18" Type="http://schemas.openxmlformats.org/officeDocument/2006/relationships/hyperlink" Target="http://www.umass.manchester.ac.uk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aid.manchester.ac.uk/student-admissions/application_assessment/interviewing/" TargetMode="External"/><Relationship Id="rId12" Type="http://schemas.openxmlformats.org/officeDocument/2006/relationships/hyperlink" Target="https://livelink.manchester.ac.uk/cgi-bin/livelink?func=LL.getlogin&amp;NextURL=%2Fcgi%2Dbin%2Flivelink%3Ffunc%3Dll%26objId%3D22301836%26objAction%3Ddownload" TargetMode="External"/><Relationship Id="rId17" Type="http://schemas.openxmlformats.org/officeDocument/2006/relationships/hyperlink" Target="http://www.manchester.ac.uk/undergraduate/schoolsandcolleg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nchester.ac.uk/undergraduate/openday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uments.manchester.ac.uk/display.aspx?DocID=14841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manchester.ac.uk/undergraduate/opendays/other-visi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news.manchester.ac.uk/ukassets/images/441/SocialMediaGuidanceforUniversityofManchesterStaff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news.manchester.ac.uk/ukassets/images/441/Scheduleofconversioncommunications2012-13.pdf" TargetMode="External"/><Relationship Id="rId14" Type="http://schemas.openxmlformats.org/officeDocument/2006/relationships/hyperlink" Target="mailto:Rebecca.Lee@manchester.ac.uk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4B3947"/>
    <w:rsid w:val="004B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7949B7B42749A6838C913E3395832C">
    <w:name w:val="CD7949B7B42749A6838C913E3395832C"/>
    <w:rsid w:val="004B3947"/>
  </w:style>
  <w:style w:type="paragraph" w:customStyle="1" w:styleId="88290F2FB4E14A6C9160BBCE81802E0B">
    <w:name w:val="88290F2FB4E14A6C9160BBCE81802E0B"/>
    <w:rsid w:val="004B39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MFZTSAJP</dc:creator>
  <cp:keywords/>
  <dc:description/>
  <cp:lastModifiedBy>MFZTSAJP</cp:lastModifiedBy>
  <cp:revision>11</cp:revision>
  <cp:lastPrinted>2012-11-28T10:26:00Z</cp:lastPrinted>
  <dcterms:created xsi:type="dcterms:W3CDTF">2012-11-26T12:28:00Z</dcterms:created>
  <dcterms:modified xsi:type="dcterms:W3CDTF">2012-11-28T10:32:00Z</dcterms:modified>
</cp:coreProperties>
</file>