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A0" w:rsidRPr="0024270D" w:rsidRDefault="004F4173" w:rsidP="005947A0">
      <w:pPr>
        <w:rPr>
          <w:rFonts w:ascii="Verdana" w:hAnsi="Verdana" w:cs="Arial"/>
          <w:b/>
          <w:sz w:val="19"/>
          <w:szCs w:val="22"/>
        </w:rPr>
      </w:pPr>
      <w:r w:rsidRPr="0024270D">
        <w:rPr>
          <w:rFonts w:ascii="Verdana" w:hAnsi="Verdana" w:cs="Arial"/>
          <w:b/>
          <w:noProof/>
          <w:sz w:val="19"/>
          <w:szCs w:val="22"/>
          <w:lang w:eastAsia="en-GB"/>
        </w:rPr>
        <w:drawing>
          <wp:anchor distT="0" distB="0" distL="114300" distR="114300" simplePos="0" relativeHeight="251659264" behindDoc="1" locked="0" layoutInCell="1" allowOverlap="1">
            <wp:simplePos x="0" y="0"/>
            <wp:positionH relativeFrom="page">
              <wp:posOffset>219075</wp:posOffset>
            </wp:positionH>
            <wp:positionV relativeFrom="page">
              <wp:posOffset>152400</wp:posOffset>
            </wp:positionV>
            <wp:extent cx="1062990" cy="962025"/>
            <wp:effectExtent l="19050" t="0" r="3810" b="0"/>
            <wp:wrapNone/>
            <wp:docPr id="1"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7" cstate="print"/>
                    <a:srcRect/>
                    <a:stretch>
                      <a:fillRect/>
                    </a:stretch>
                  </pic:blipFill>
                  <pic:spPr bwMode="auto">
                    <a:xfrm>
                      <a:off x="0" y="0"/>
                      <a:ext cx="1062990" cy="962025"/>
                    </a:xfrm>
                    <a:prstGeom prst="rect">
                      <a:avLst/>
                    </a:prstGeom>
                    <a:noFill/>
                    <a:ln w="9525">
                      <a:noFill/>
                      <a:miter lim="800000"/>
                      <a:headEnd/>
                      <a:tailEnd/>
                    </a:ln>
                  </pic:spPr>
                </pic:pic>
              </a:graphicData>
            </a:graphic>
          </wp:anchor>
        </w:drawing>
      </w:r>
      <w:r w:rsidR="00CE54BF" w:rsidRPr="0024270D">
        <w:rPr>
          <w:rFonts w:ascii="Verdana" w:hAnsi="Verdana" w:cs="Arial"/>
          <w:b/>
          <w:sz w:val="19"/>
          <w:szCs w:val="22"/>
        </w:rPr>
        <w:t>DATA PROTECTION ACT 1998</w:t>
      </w:r>
    </w:p>
    <w:p w:rsidR="00CE54BF" w:rsidRPr="0024270D" w:rsidRDefault="00CE54BF" w:rsidP="005947A0">
      <w:pPr>
        <w:rPr>
          <w:rFonts w:ascii="Verdana" w:hAnsi="Verdana" w:cs="Arial"/>
          <w:b/>
          <w:sz w:val="19"/>
          <w:szCs w:val="22"/>
        </w:rPr>
      </w:pPr>
      <w:r w:rsidRPr="0024270D">
        <w:rPr>
          <w:rFonts w:ascii="Verdana" w:hAnsi="Verdana" w:cs="Arial"/>
          <w:b/>
          <w:sz w:val="19"/>
          <w:szCs w:val="22"/>
        </w:rPr>
        <w:t>EMPLOYEE DATA PROCESSING AGREEMENT</w:t>
      </w:r>
    </w:p>
    <w:p w:rsidR="00CE54BF" w:rsidRPr="0024270D" w:rsidRDefault="00CE54BF" w:rsidP="005947A0">
      <w:pPr>
        <w:rPr>
          <w:rFonts w:ascii="Verdana" w:hAnsi="Verdana" w:cs="Arial"/>
          <w:b/>
          <w:sz w:val="19"/>
          <w:szCs w:val="22"/>
        </w:rPr>
      </w:pPr>
    </w:p>
    <w:p w:rsidR="005947A0" w:rsidRPr="0024270D" w:rsidRDefault="005947A0" w:rsidP="005947A0">
      <w:pPr>
        <w:spacing w:after="240"/>
        <w:rPr>
          <w:rFonts w:ascii="Verdana" w:hAnsi="Verdana" w:cs="Arial"/>
          <w:sz w:val="19"/>
          <w:szCs w:val="22"/>
        </w:rPr>
      </w:pPr>
      <w:r w:rsidRPr="0024270D">
        <w:rPr>
          <w:rFonts w:ascii="Verdana" w:hAnsi="Verdana" w:cs="Arial"/>
          <w:sz w:val="19"/>
          <w:szCs w:val="22"/>
        </w:rPr>
        <w:t>The Data Protection Act 1998 came into force on 1 March 2000.  The Act works in two ways. Firstly, it states that anyone who processes personal information must comply with eight principles, which make sure that personal information is:</w:t>
      </w:r>
    </w:p>
    <w:p w:rsidR="005947A0" w:rsidRPr="0024270D" w:rsidRDefault="005947A0" w:rsidP="005947A0">
      <w:pPr>
        <w:numPr>
          <w:ilvl w:val="0"/>
          <w:numId w:val="1"/>
        </w:numPr>
        <w:spacing w:after="30"/>
        <w:ind w:left="480"/>
        <w:rPr>
          <w:rFonts w:ascii="Verdana" w:hAnsi="Verdana" w:cs="Arial"/>
          <w:sz w:val="19"/>
          <w:szCs w:val="22"/>
        </w:rPr>
      </w:pPr>
      <w:r w:rsidRPr="0024270D">
        <w:rPr>
          <w:rFonts w:ascii="Verdana" w:hAnsi="Verdana" w:cs="Arial"/>
          <w:sz w:val="19"/>
          <w:szCs w:val="22"/>
        </w:rPr>
        <w:t xml:space="preserve">Fairly and lawfully processed </w:t>
      </w:r>
    </w:p>
    <w:p w:rsidR="005947A0" w:rsidRPr="0024270D" w:rsidRDefault="005947A0" w:rsidP="005947A0">
      <w:pPr>
        <w:numPr>
          <w:ilvl w:val="0"/>
          <w:numId w:val="1"/>
        </w:numPr>
        <w:spacing w:after="30"/>
        <w:ind w:left="480"/>
        <w:rPr>
          <w:rFonts w:ascii="Verdana" w:hAnsi="Verdana" w:cs="Arial"/>
          <w:sz w:val="19"/>
          <w:szCs w:val="22"/>
        </w:rPr>
      </w:pPr>
      <w:r w:rsidRPr="0024270D">
        <w:rPr>
          <w:rFonts w:ascii="Verdana" w:hAnsi="Verdana" w:cs="Arial"/>
          <w:sz w:val="19"/>
          <w:szCs w:val="22"/>
        </w:rPr>
        <w:t xml:space="preserve">Processed for limited purposes </w:t>
      </w:r>
    </w:p>
    <w:p w:rsidR="005947A0" w:rsidRPr="0024270D" w:rsidRDefault="005947A0" w:rsidP="005947A0">
      <w:pPr>
        <w:numPr>
          <w:ilvl w:val="0"/>
          <w:numId w:val="1"/>
        </w:numPr>
        <w:spacing w:after="30"/>
        <w:ind w:left="480"/>
        <w:rPr>
          <w:rFonts w:ascii="Verdana" w:hAnsi="Verdana" w:cs="Arial"/>
          <w:sz w:val="19"/>
          <w:szCs w:val="22"/>
        </w:rPr>
      </w:pPr>
      <w:r w:rsidRPr="0024270D">
        <w:rPr>
          <w:rFonts w:ascii="Verdana" w:hAnsi="Verdana" w:cs="Arial"/>
          <w:sz w:val="19"/>
          <w:szCs w:val="22"/>
        </w:rPr>
        <w:t xml:space="preserve">Adequate, relevant and not excessive </w:t>
      </w:r>
    </w:p>
    <w:p w:rsidR="005947A0" w:rsidRPr="0024270D" w:rsidRDefault="005947A0" w:rsidP="005947A0">
      <w:pPr>
        <w:numPr>
          <w:ilvl w:val="0"/>
          <w:numId w:val="1"/>
        </w:numPr>
        <w:spacing w:after="30"/>
        <w:ind w:left="480"/>
        <w:rPr>
          <w:rFonts w:ascii="Verdana" w:hAnsi="Verdana" w:cs="Arial"/>
          <w:sz w:val="19"/>
          <w:szCs w:val="22"/>
        </w:rPr>
      </w:pPr>
      <w:r w:rsidRPr="0024270D">
        <w:rPr>
          <w:rFonts w:ascii="Verdana" w:hAnsi="Verdana" w:cs="Arial"/>
          <w:sz w:val="19"/>
          <w:szCs w:val="22"/>
        </w:rPr>
        <w:t xml:space="preserve">Accurate and up to date </w:t>
      </w:r>
    </w:p>
    <w:p w:rsidR="005947A0" w:rsidRPr="0024270D" w:rsidRDefault="005947A0" w:rsidP="005947A0">
      <w:pPr>
        <w:numPr>
          <w:ilvl w:val="0"/>
          <w:numId w:val="1"/>
        </w:numPr>
        <w:spacing w:after="30"/>
        <w:ind w:left="480"/>
        <w:rPr>
          <w:rFonts w:ascii="Verdana" w:hAnsi="Verdana" w:cs="Arial"/>
          <w:sz w:val="19"/>
          <w:szCs w:val="22"/>
        </w:rPr>
      </w:pPr>
      <w:r w:rsidRPr="0024270D">
        <w:rPr>
          <w:rFonts w:ascii="Verdana" w:hAnsi="Verdana" w:cs="Arial"/>
          <w:sz w:val="19"/>
          <w:szCs w:val="22"/>
        </w:rPr>
        <w:t xml:space="preserve">Not kept for longer than is necessary </w:t>
      </w:r>
    </w:p>
    <w:p w:rsidR="005947A0" w:rsidRPr="0024270D" w:rsidRDefault="005947A0" w:rsidP="005947A0">
      <w:pPr>
        <w:numPr>
          <w:ilvl w:val="0"/>
          <w:numId w:val="1"/>
        </w:numPr>
        <w:spacing w:after="30"/>
        <w:ind w:left="480"/>
        <w:rPr>
          <w:rFonts w:ascii="Verdana" w:hAnsi="Verdana" w:cs="Arial"/>
          <w:sz w:val="19"/>
          <w:szCs w:val="22"/>
        </w:rPr>
      </w:pPr>
      <w:r w:rsidRPr="0024270D">
        <w:rPr>
          <w:rFonts w:ascii="Verdana" w:hAnsi="Verdana" w:cs="Arial"/>
          <w:sz w:val="19"/>
          <w:szCs w:val="22"/>
        </w:rPr>
        <w:t xml:space="preserve">Processed in line with </w:t>
      </w:r>
      <w:r w:rsidR="004F4173" w:rsidRPr="0024270D">
        <w:rPr>
          <w:rFonts w:ascii="Verdana" w:hAnsi="Verdana" w:cs="Arial"/>
          <w:sz w:val="19"/>
          <w:szCs w:val="19"/>
        </w:rPr>
        <w:t>the individual’s</w:t>
      </w:r>
      <w:r w:rsidRPr="0024270D">
        <w:rPr>
          <w:rFonts w:ascii="Verdana" w:hAnsi="Verdana" w:cs="Arial"/>
          <w:sz w:val="19"/>
          <w:szCs w:val="22"/>
        </w:rPr>
        <w:t xml:space="preserve"> rights </w:t>
      </w:r>
    </w:p>
    <w:p w:rsidR="005947A0" w:rsidRPr="0024270D" w:rsidRDefault="005947A0" w:rsidP="005947A0">
      <w:pPr>
        <w:numPr>
          <w:ilvl w:val="0"/>
          <w:numId w:val="1"/>
        </w:numPr>
        <w:spacing w:after="30"/>
        <w:ind w:left="480"/>
        <w:rPr>
          <w:rFonts w:ascii="Verdana" w:hAnsi="Verdana" w:cs="Arial"/>
          <w:sz w:val="19"/>
          <w:szCs w:val="22"/>
        </w:rPr>
      </w:pPr>
      <w:r w:rsidRPr="0024270D">
        <w:rPr>
          <w:rFonts w:ascii="Verdana" w:hAnsi="Verdana" w:cs="Arial"/>
          <w:sz w:val="19"/>
          <w:szCs w:val="22"/>
        </w:rPr>
        <w:t xml:space="preserve">Secure </w:t>
      </w:r>
    </w:p>
    <w:p w:rsidR="005947A0" w:rsidRPr="0024270D" w:rsidRDefault="005947A0" w:rsidP="005947A0">
      <w:pPr>
        <w:numPr>
          <w:ilvl w:val="0"/>
          <w:numId w:val="1"/>
        </w:numPr>
        <w:spacing w:after="30"/>
        <w:ind w:left="480"/>
        <w:rPr>
          <w:rFonts w:ascii="Verdana" w:hAnsi="Verdana" w:cs="Arial"/>
          <w:sz w:val="19"/>
          <w:szCs w:val="22"/>
        </w:rPr>
      </w:pPr>
      <w:r w:rsidRPr="0024270D">
        <w:rPr>
          <w:rFonts w:ascii="Verdana" w:hAnsi="Verdana" w:cs="Arial"/>
          <w:sz w:val="19"/>
          <w:szCs w:val="22"/>
        </w:rPr>
        <w:t xml:space="preserve">Not transferred to other countries without adequate protection </w:t>
      </w:r>
    </w:p>
    <w:p w:rsidR="005947A0" w:rsidRPr="0024270D" w:rsidRDefault="005947A0" w:rsidP="005947A0">
      <w:pPr>
        <w:spacing w:after="30"/>
        <w:ind w:left="120"/>
        <w:rPr>
          <w:rFonts w:ascii="Verdana" w:hAnsi="Verdana" w:cs="Arial"/>
          <w:sz w:val="19"/>
          <w:szCs w:val="22"/>
        </w:rPr>
      </w:pPr>
    </w:p>
    <w:p w:rsidR="005947A0" w:rsidRPr="0024270D" w:rsidRDefault="005947A0" w:rsidP="005947A0">
      <w:pPr>
        <w:spacing w:after="240"/>
        <w:rPr>
          <w:rFonts w:ascii="Verdana" w:hAnsi="Verdana" w:cs="Arial"/>
          <w:sz w:val="19"/>
          <w:szCs w:val="22"/>
        </w:rPr>
      </w:pPr>
      <w:r w:rsidRPr="0024270D">
        <w:rPr>
          <w:rFonts w:ascii="Verdana" w:hAnsi="Verdana" w:cs="Arial"/>
          <w:sz w:val="19"/>
          <w:szCs w:val="22"/>
        </w:rPr>
        <w:t>The second area covered by the Act provides individuals, referred to as data subjects, with important rights, including the right to find out what personal information is held on computer and most paper records.</w:t>
      </w:r>
    </w:p>
    <w:p w:rsidR="005947A0" w:rsidRPr="0024270D" w:rsidRDefault="005947A0" w:rsidP="005947A0">
      <w:pPr>
        <w:rPr>
          <w:rFonts w:ascii="Verdana" w:hAnsi="Verdana" w:cs="Arial"/>
          <w:sz w:val="19"/>
          <w:szCs w:val="22"/>
        </w:rPr>
      </w:pPr>
      <w:r w:rsidRPr="0024270D">
        <w:rPr>
          <w:rFonts w:ascii="Verdana" w:hAnsi="Verdana" w:cs="Arial"/>
          <w:sz w:val="19"/>
          <w:szCs w:val="22"/>
        </w:rPr>
        <w:t>The Info</w:t>
      </w:r>
      <w:r w:rsidR="00476D70" w:rsidRPr="0024270D">
        <w:rPr>
          <w:rFonts w:ascii="Verdana" w:hAnsi="Verdana" w:cs="Arial"/>
          <w:sz w:val="19"/>
          <w:szCs w:val="22"/>
        </w:rPr>
        <w:t>rmation Commissioner</w:t>
      </w:r>
      <w:r w:rsidRPr="0024270D">
        <w:rPr>
          <w:rFonts w:ascii="Verdana" w:hAnsi="Verdana" w:cs="Arial"/>
          <w:sz w:val="19"/>
          <w:szCs w:val="22"/>
        </w:rPr>
        <w:t xml:space="preserve"> oversees compliance with the Act in England, Wales and Northern Ireland. </w:t>
      </w:r>
    </w:p>
    <w:p w:rsidR="005947A0" w:rsidRPr="0024270D" w:rsidRDefault="005947A0" w:rsidP="005947A0">
      <w:pPr>
        <w:rPr>
          <w:rFonts w:ascii="Verdana" w:hAnsi="Verdana" w:cs="Arial"/>
          <w:sz w:val="19"/>
          <w:szCs w:val="22"/>
        </w:rPr>
      </w:pPr>
    </w:p>
    <w:p w:rsidR="005947A0" w:rsidRPr="0024270D" w:rsidRDefault="005947A0" w:rsidP="005947A0">
      <w:pPr>
        <w:rPr>
          <w:rFonts w:ascii="Verdana" w:hAnsi="Verdana" w:cs="Arial"/>
          <w:sz w:val="19"/>
          <w:szCs w:val="22"/>
        </w:rPr>
      </w:pPr>
      <w:r w:rsidRPr="0024270D">
        <w:rPr>
          <w:rFonts w:ascii="Verdana" w:hAnsi="Verdana" w:cs="Arial"/>
          <w:sz w:val="19"/>
          <w:szCs w:val="22"/>
        </w:rPr>
        <w:t xml:space="preserve">The University of Manchester is a registered data controller with the Information Commissioner.  </w:t>
      </w:r>
      <w:r w:rsidR="00476D70" w:rsidRPr="0024270D">
        <w:rPr>
          <w:rFonts w:ascii="Verdana" w:hAnsi="Verdana" w:cs="Arial"/>
          <w:sz w:val="19"/>
          <w:szCs w:val="22"/>
        </w:rPr>
        <w:t>T</w:t>
      </w:r>
      <w:r w:rsidRPr="0024270D">
        <w:rPr>
          <w:rFonts w:ascii="Verdana" w:hAnsi="Verdana" w:cs="Arial"/>
          <w:sz w:val="19"/>
          <w:szCs w:val="22"/>
        </w:rPr>
        <w:t>he University determines the purpose for which and the manner in which any personal data</w:t>
      </w:r>
      <w:r w:rsidR="00476D70" w:rsidRPr="0024270D">
        <w:rPr>
          <w:rFonts w:ascii="Verdana" w:hAnsi="Verdana" w:cs="Arial"/>
          <w:sz w:val="19"/>
          <w:szCs w:val="22"/>
        </w:rPr>
        <w:t xml:space="preserve"> controlled by the University</w:t>
      </w:r>
      <w:r w:rsidRPr="0024270D">
        <w:rPr>
          <w:rFonts w:ascii="Verdana" w:hAnsi="Verdana" w:cs="Arial"/>
          <w:sz w:val="19"/>
          <w:szCs w:val="22"/>
        </w:rPr>
        <w:t xml:space="preserve"> is processed.</w:t>
      </w:r>
    </w:p>
    <w:p w:rsidR="00476D70" w:rsidRPr="0024270D" w:rsidRDefault="00476D70" w:rsidP="005947A0">
      <w:pPr>
        <w:rPr>
          <w:rFonts w:ascii="Verdana" w:hAnsi="Verdana" w:cs="Arial"/>
          <w:sz w:val="19"/>
          <w:szCs w:val="22"/>
        </w:rPr>
      </w:pPr>
    </w:p>
    <w:p w:rsidR="00476D70" w:rsidRPr="0024270D" w:rsidRDefault="004F4173" w:rsidP="005947A0">
      <w:pPr>
        <w:rPr>
          <w:rFonts w:ascii="Verdana" w:hAnsi="Verdana" w:cs="Arial"/>
          <w:sz w:val="19"/>
          <w:szCs w:val="22"/>
        </w:rPr>
      </w:pPr>
      <w:r w:rsidRPr="0024270D">
        <w:rPr>
          <w:rFonts w:ascii="Verdana" w:hAnsi="Verdana" w:cs="Arial"/>
          <w:sz w:val="19"/>
          <w:szCs w:val="19"/>
        </w:rPr>
        <w:t xml:space="preserve">Personal data is defined as </w:t>
      </w:r>
      <w:r w:rsidR="00476D70" w:rsidRPr="0024270D">
        <w:rPr>
          <w:rFonts w:ascii="Verdana" w:hAnsi="Verdana" w:cs="Arial"/>
          <w:sz w:val="19"/>
          <w:szCs w:val="22"/>
        </w:rPr>
        <w:t>data that relates to living individuals who can be identified from those data or from those data and other information which is in the possession of, or likely to come into the possession of the data controller.</w:t>
      </w:r>
    </w:p>
    <w:p w:rsidR="005947A0" w:rsidRPr="0024270D" w:rsidRDefault="005947A0" w:rsidP="005947A0">
      <w:pPr>
        <w:rPr>
          <w:rFonts w:ascii="Verdana" w:hAnsi="Verdana" w:cs="Arial"/>
          <w:sz w:val="19"/>
          <w:szCs w:val="22"/>
        </w:rPr>
      </w:pPr>
    </w:p>
    <w:p w:rsidR="005947A0" w:rsidRPr="0024270D" w:rsidRDefault="005947A0" w:rsidP="005947A0">
      <w:pPr>
        <w:rPr>
          <w:rFonts w:ascii="Verdana" w:hAnsi="Verdana" w:cs="Arial"/>
          <w:sz w:val="19"/>
          <w:szCs w:val="22"/>
        </w:rPr>
      </w:pPr>
      <w:r w:rsidRPr="0024270D">
        <w:rPr>
          <w:rFonts w:ascii="Verdana" w:hAnsi="Verdana" w:cs="Arial"/>
          <w:sz w:val="19"/>
          <w:szCs w:val="22"/>
        </w:rPr>
        <w:t>Processing personal data includes obtaining, recording or holding or carrying out any operation or set of operations on the personal data.</w:t>
      </w:r>
    </w:p>
    <w:p w:rsidR="005947A0" w:rsidRPr="0024270D" w:rsidRDefault="005947A0" w:rsidP="005947A0">
      <w:pPr>
        <w:rPr>
          <w:rFonts w:ascii="Verdana" w:hAnsi="Verdana" w:cs="Arial"/>
          <w:sz w:val="19"/>
          <w:szCs w:val="22"/>
        </w:rPr>
      </w:pPr>
    </w:p>
    <w:p w:rsidR="005947A0" w:rsidRPr="0024270D" w:rsidRDefault="005947A0" w:rsidP="005947A0">
      <w:pPr>
        <w:rPr>
          <w:rFonts w:ascii="Verdana" w:hAnsi="Verdana" w:cs="Arial"/>
          <w:sz w:val="19"/>
          <w:szCs w:val="22"/>
        </w:rPr>
      </w:pPr>
      <w:r w:rsidRPr="0024270D">
        <w:rPr>
          <w:rFonts w:ascii="Verdana" w:hAnsi="Verdana" w:cs="Arial"/>
          <w:sz w:val="19"/>
          <w:szCs w:val="22"/>
        </w:rPr>
        <w:t>As an employee of the University you will be the recipient of personal data</w:t>
      </w:r>
      <w:r w:rsidR="00476D70" w:rsidRPr="0024270D">
        <w:rPr>
          <w:rFonts w:ascii="Verdana" w:hAnsi="Verdana" w:cs="Arial"/>
          <w:sz w:val="19"/>
          <w:szCs w:val="22"/>
        </w:rPr>
        <w:t>, both electronic and manual,</w:t>
      </w:r>
      <w:r w:rsidRPr="0024270D">
        <w:rPr>
          <w:rFonts w:ascii="Verdana" w:hAnsi="Verdana" w:cs="Arial"/>
          <w:sz w:val="19"/>
          <w:szCs w:val="22"/>
        </w:rPr>
        <w:t xml:space="preserve"> which </w:t>
      </w:r>
      <w:r w:rsidR="004F4173" w:rsidRPr="0024270D">
        <w:rPr>
          <w:rFonts w:ascii="Verdana" w:hAnsi="Verdana" w:cs="Arial"/>
          <w:sz w:val="19"/>
          <w:szCs w:val="19"/>
        </w:rPr>
        <w:t xml:space="preserve">will </w:t>
      </w:r>
      <w:r w:rsidRPr="0024270D">
        <w:rPr>
          <w:rFonts w:ascii="Verdana" w:hAnsi="Verdana" w:cs="Arial"/>
          <w:sz w:val="19"/>
          <w:szCs w:val="22"/>
        </w:rPr>
        <w:t xml:space="preserve">be disclosed to you during the course of your duties.  You will be required to process all personal data at all times in accordance with the eight principles of the Data Protection Act and </w:t>
      </w:r>
      <w:r w:rsidR="00476D70" w:rsidRPr="0024270D">
        <w:rPr>
          <w:rFonts w:ascii="Verdana" w:hAnsi="Verdana" w:cs="Arial"/>
          <w:sz w:val="19"/>
          <w:szCs w:val="22"/>
        </w:rPr>
        <w:t xml:space="preserve">to only process personal data </w:t>
      </w:r>
      <w:r w:rsidRPr="0024270D">
        <w:rPr>
          <w:rFonts w:ascii="Verdana" w:hAnsi="Verdana" w:cs="Arial"/>
          <w:sz w:val="19"/>
          <w:szCs w:val="22"/>
        </w:rPr>
        <w:t>for the purpose and in the manner instructed by the University.</w:t>
      </w:r>
    </w:p>
    <w:p w:rsidR="005947A0" w:rsidRPr="0024270D" w:rsidRDefault="005947A0" w:rsidP="005947A0">
      <w:pPr>
        <w:rPr>
          <w:rFonts w:ascii="Verdana" w:hAnsi="Verdana" w:cs="Arial"/>
          <w:sz w:val="19"/>
          <w:szCs w:val="22"/>
        </w:rPr>
      </w:pPr>
    </w:p>
    <w:p w:rsidR="00476D70" w:rsidRPr="0024270D" w:rsidRDefault="00476D70" w:rsidP="005947A0">
      <w:pPr>
        <w:rPr>
          <w:rFonts w:ascii="Verdana" w:hAnsi="Verdana" w:cs="Arial"/>
          <w:sz w:val="19"/>
          <w:szCs w:val="22"/>
        </w:rPr>
      </w:pPr>
      <w:r w:rsidRPr="0024270D">
        <w:rPr>
          <w:rFonts w:ascii="Verdana" w:hAnsi="Verdana" w:cs="Arial"/>
          <w:sz w:val="19"/>
          <w:szCs w:val="22"/>
        </w:rPr>
        <w:t xml:space="preserve">You must only access personal data </w:t>
      </w:r>
      <w:r w:rsidR="004F4173" w:rsidRPr="0024270D">
        <w:rPr>
          <w:rFonts w:ascii="Verdana" w:hAnsi="Verdana" w:cs="Arial"/>
          <w:sz w:val="19"/>
          <w:szCs w:val="19"/>
        </w:rPr>
        <w:t xml:space="preserve">if </w:t>
      </w:r>
      <w:r w:rsidRPr="0024270D">
        <w:rPr>
          <w:rFonts w:ascii="Verdana" w:hAnsi="Verdana" w:cs="Arial"/>
          <w:sz w:val="19"/>
          <w:szCs w:val="22"/>
        </w:rPr>
        <w:t>you are legitimately required to</w:t>
      </w:r>
      <w:r w:rsidR="00E57BAB" w:rsidRPr="0024270D">
        <w:rPr>
          <w:rFonts w:ascii="Verdana" w:hAnsi="Verdana" w:cs="Arial"/>
          <w:sz w:val="19"/>
          <w:szCs w:val="22"/>
        </w:rPr>
        <w:t xml:space="preserve"> do so</w:t>
      </w:r>
      <w:r w:rsidRPr="0024270D">
        <w:rPr>
          <w:rFonts w:ascii="Verdana" w:hAnsi="Verdana" w:cs="Arial"/>
          <w:sz w:val="19"/>
          <w:szCs w:val="22"/>
        </w:rPr>
        <w:t xml:space="preserve"> in order to perform your duties as an employee of the University.  You must never disclose personal data to a third party without author</w:t>
      </w:r>
      <w:r w:rsidR="00C373C5">
        <w:rPr>
          <w:rFonts w:ascii="Verdana" w:hAnsi="Verdana" w:cs="Arial"/>
          <w:sz w:val="19"/>
          <w:szCs w:val="22"/>
        </w:rPr>
        <w:t>is</w:t>
      </w:r>
      <w:r w:rsidRPr="0024270D">
        <w:rPr>
          <w:rFonts w:ascii="Verdana" w:hAnsi="Verdana" w:cs="Arial"/>
          <w:sz w:val="19"/>
          <w:szCs w:val="22"/>
        </w:rPr>
        <w:t>ation from the University.</w:t>
      </w:r>
    </w:p>
    <w:p w:rsidR="00476D70" w:rsidRPr="0024270D" w:rsidRDefault="00476D70" w:rsidP="005947A0">
      <w:pPr>
        <w:rPr>
          <w:rFonts w:ascii="Verdana" w:hAnsi="Verdana" w:cs="Arial"/>
          <w:sz w:val="19"/>
          <w:szCs w:val="22"/>
          <w:u w:val="single"/>
        </w:rPr>
      </w:pPr>
    </w:p>
    <w:p w:rsidR="00CE54BF" w:rsidRPr="0024270D" w:rsidRDefault="00E57BAB" w:rsidP="005947A0">
      <w:pPr>
        <w:rPr>
          <w:rFonts w:ascii="Verdana" w:hAnsi="Verdana" w:cs="Arial"/>
          <w:sz w:val="19"/>
          <w:szCs w:val="22"/>
        </w:rPr>
      </w:pPr>
      <w:r w:rsidRPr="0024270D">
        <w:rPr>
          <w:rFonts w:ascii="Verdana" w:hAnsi="Verdana" w:cs="Arial"/>
          <w:sz w:val="19"/>
          <w:szCs w:val="22"/>
        </w:rPr>
        <w:t xml:space="preserve">Agreement: </w:t>
      </w:r>
      <w:r w:rsidR="00CE54BF" w:rsidRPr="0024270D">
        <w:rPr>
          <w:rFonts w:ascii="Verdana" w:hAnsi="Verdana" w:cs="Arial"/>
          <w:sz w:val="19"/>
          <w:szCs w:val="22"/>
        </w:rPr>
        <w:t>As an employee of The University of Manchester, I agree to process personal data in accordance with the eight principles of the Data Protection Act 1998 and in accordance with the instructions of my employer, The University of Manchester.</w:t>
      </w:r>
    </w:p>
    <w:p w:rsidR="00CE54BF" w:rsidRPr="0024270D" w:rsidRDefault="00CE54BF" w:rsidP="005947A0">
      <w:pPr>
        <w:rPr>
          <w:rFonts w:ascii="Verdana" w:hAnsi="Verdana" w:cs="Arial"/>
          <w:sz w:val="19"/>
          <w:szCs w:val="22"/>
        </w:rPr>
      </w:pPr>
    </w:p>
    <w:p w:rsidR="00CE54BF" w:rsidRPr="0024270D" w:rsidRDefault="00CE54BF" w:rsidP="005947A0">
      <w:pPr>
        <w:rPr>
          <w:rFonts w:ascii="Verdana" w:hAnsi="Verdana" w:cs="Arial"/>
          <w:sz w:val="19"/>
          <w:szCs w:val="22"/>
        </w:rPr>
      </w:pPr>
      <w:r w:rsidRPr="0024270D">
        <w:rPr>
          <w:rFonts w:ascii="Verdana" w:hAnsi="Verdana" w:cs="Arial"/>
          <w:sz w:val="19"/>
          <w:szCs w:val="22"/>
        </w:rPr>
        <w:t>Signed…………………………………………………..  Date…………………………………………………………</w:t>
      </w:r>
    </w:p>
    <w:p w:rsidR="00CE54BF" w:rsidRPr="0024270D" w:rsidRDefault="00CE54BF" w:rsidP="005947A0">
      <w:pPr>
        <w:rPr>
          <w:rFonts w:ascii="Verdana" w:hAnsi="Verdana" w:cs="Arial"/>
          <w:sz w:val="19"/>
          <w:szCs w:val="22"/>
        </w:rPr>
      </w:pPr>
    </w:p>
    <w:p w:rsidR="00CE54BF" w:rsidRPr="0024270D" w:rsidRDefault="00CE54BF" w:rsidP="005947A0">
      <w:pPr>
        <w:rPr>
          <w:rFonts w:ascii="Verdana" w:hAnsi="Verdana" w:cs="Arial"/>
          <w:sz w:val="19"/>
          <w:szCs w:val="22"/>
        </w:rPr>
      </w:pPr>
      <w:r w:rsidRPr="0024270D">
        <w:rPr>
          <w:rFonts w:ascii="Verdana" w:hAnsi="Verdana" w:cs="Arial"/>
          <w:sz w:val="19"/>
          <w:szCs w:val="22"/>
        </w:rPr>
        <w:t>Details of post……………………………………………………………………………………………………………</w:t>
      </w:r>
    </w:p>
    <w:p w:rsidR="00CE54BF" w:rsidRPr="0024270D" w:rsidRDefault="00CE54BF" w:rsidP="005947A0">
      <w:pPr>
        <w:rPr>
          <w:rFonts w:ascii="Verdana" w:hAnsi="Verdana" w:cs="Arial"/>
          <w:sz w:val="19"/>
          <w:szCs w:val="22"/>
        </w:rPr>
      </w:pPr>
    </w:p>
    <w:p w:rsidR="005947A0" w:rsidRPr="0024270D" w:rsidRDefault="00CE54BF" w:rsidP="005947A0">
      <w:pPr>
        <w:rPr>
          <w:rFonts w:ascii="Verdana" w:hAnsi="Verdana" w:cs="Arial"/>
          <w:sz w:val="19"/>
          <w:szCs w:val="22"/>
        </w:rPr>
      </w:pPr>
      <w:r w:rsidRPr="0024270D">
        <w:rPr>
          <w:rFonts w:ascii="Verdana" w:hAnsi="Verdana" w:cs="Arial"/>
          <w:sz w:val="19"/>
          <w:szCs w:val="22"/>
        </w:rPr>
        <w:t>Details of line manager……………………………………………………………………………………………..</w:t>
      </w:r>
      <w:r w:rsidR="005947A0" w:rsidRPr="0024270D">
        <w:rPr>
          <w:rFonts w:ascii="Verdana" w:hAnsi="Verdana" w:cs="Arial"/>
          <w:sz w:val="19"/>
          <w:szCs w:val="22"/>
        </w:rPr>
        <w:t xml:space="preserve">     </w:t>
      </w:r>
    </w:p>
    <w:p w:rsidR="005947A0" w:rsidRPr="0024270D" w:rsidRDefault="005947A0" w:rsidP="005947A0">
      <w:pPr>
        <w:spacing w:after="240"/>
        <w:rPr>
          <w:rFonts w:ascii="Verdana" w:hAnsi="Verdana" w:cs="Arial"/>
          <w:color w:val="333333"/>
          <w:sz w:val="19"/>
          <w:szCs w:val="22"/>
        </w:rPr>
      </w:pPr>
    </w:p>
    <w:sectPr w:rsidR="005947A0" w:rsidRPr="0024270D" w:rsidSect="00E73E4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85E" w:rsidRDefault="0014385E" w:rsidP="0024270D">
      <w:r>
        <w:separator/>
      </w:r>
    </w:p>
  </w:endnote>
  <w:endnote w:type="continuationSeparator" w:id="0">
    <w:p w:rsidR="0014385E" w:rsidRDefault="0014385E" w:rsidP="002427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48" w:rsidRDefault="00E73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2"/>
      <w:gridCol w:w="2953"/>
      <w:gridCol w:w="2951"/>
    </w:tblGrid>
    <w:tr w:rsidR="0024270D" w:rsidTr="0024270D">
      <w:tc>
        <w:tcPr>
          <w:tcW w:w="1667" w:type="pct"/>
        </w:tcPr>
        <w:p w:rsidR="0024270D" w:rsidRPr="00E73E48" w:rsidRDefault="0024270D">
          <w:pPr>
            <w:pStyle w:val="Footer"/>
            <w:rPr>
              <w:rFonts w:ascii="Verdana" w:hAnsi="Verdana"/>
              <w:color w:val="A6A6A6" w:themeColor="background1" w:themeShade="A6"/>
              <w:sz w:val="16"/>
              <w:szCs w:val="16"/>
            </w:rPr>
          </w:pPr>
          <w:r w:rsidRPr="00E73E48">
            <w:rPr>
              <w:rFonts w:ascii="Verdana" w:hAnsi="Verdana"/>
              <w:color w:val="A6A6A6" w:themeColor="background1" w:themeShade="A6"/>
              <w:sz w:val="16"/>
              <w:szCs w:val="16"/>
            </w:rPr>
            <w:t>Records Management Office</w:t>
          </w:r>
        </w:p>
      </w:tc>
      <w:tc>
        <w:tcPr>
          <w:tcW w:w="1667" w:type="pct"/>
        </w:tcPr>
        <w:p w:rsidR="0024270D" w:rsidRDefault="0024270D">
          <w:pPr>
            <w:pStyle w:val="Footer"/>
          </w:pPr>
        </w:p>
      </w:tc>
      <w:tc>
        <w:tcPr>
          <w:tcW w:w="1667" w:type="pct"/>
        </w:tcPr>
        <w:p w:rsidR="0024270D" w:rsidRPr="00E73E48" w:rsidRDefault="0024270D" w:rsidP="0024270D">
          <w:pPr>
            <w:pStyle w:val="Footer"/>
            <w:jc w:val="right"/>
            <w:rPr>
              <w:rFonts w:ascii="Verdana" w:hAnsi="Verdana"/>
              <w:color w:val="808080" w:themeColor="background1" w:themeShade="80"/>
              <w:sz w:val="16"/>
              <w:szCs w:val="16"/>
            </w:rPr>
          </w:pPr>
          <w:r w:rsidRPr="00E73E48">
            <w:rPr>
              <w:rFonts w:ascii="Verdana" w:hAnsi="Verdana"/>
              <w:color w:val="808080" w:themeColor="background1" w:themeShade="80"/>
              <w:sz w:val="16"/>
              <w:szCs w:val="16"/>
            </w:rPr>
            <w:t>April 2011</w:t>
          </w:r>
        </w:p>
      </w:tc>
    </w:tr>
  </w:tbl>
  <w:p w:rsidR="0024270D" w:rsidRDefault="002427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48" w:rsidRDefault="00E73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85E" w:rsidRDefault="0014385E" w:rsidP="0024270D">
      <w:r>
        <w:separator/>
      </w:r>
    </w:p>
  </w:footnote>
  <w:footnote w:type="continuationSeparator" w:id="0">
    <w:p w:rsidR="0014385E" w:rsidRDefault="0014385E" w:rsidP="00242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48" w:rsidRDefault="00E73E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48" w:rsidRDefault="00E73E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48" w:rsidRDefault="00E73E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76EFC"/>
    <w:multiLevelType w:val="multilevel"/>
    <w:tmpl w:val="180C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947A0"/>
    <w:rsid w:val="0014385E"/>
    <w:rsid w:val="00176198"/>
    <w:rsid w:val="0024270D"/>
    <w:rsid w:val="00476D70"/>
    <w:rsid w:val="004F4173"/>
    <w:rsid w:val="005947A0"/>
    <w:rsid w:val="00B536D7"/>
    <w:rsid w:val="00C373C5"/>
    <w:rsid w:val="00CE54BF"/>
    <w:rsid w:val="00E57BAB"/>
    <w:rsid w:val="00E73E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6D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7BAB"/>
    <w:rPr>
      <w:rFonts w:ascii="Tahoma" w:hAnsi="Tahoma" w:cs="Tahoma"/>
      <w:sz w:val="16"/>
      <w:szCs w:val="16"/>
    </w:rPr>
  </w:style>
  <w:style w:type="paragraph" w:styleId="Header">
    <w:name w:val="header"/>
    <w:basedOn w:val="Normal"/>
    <w:link w:val="HeaderChar"/>
    <w:rsid w:val="0024270D"/>
    <w:pPr>
      <w:tabs>
        <w:tab w:val="center" w:pos="4513"/>
        <w:tab w:val="right" w:pos="9026"/>
      </w:tabs>
    </w:pPr>
  </w:style>
  <w:style w:type="character" w:customStyle="1" w:styleId="HeaderChar">
    <w:name w:val="Header Char"/>
    <w:basedOn w:val="DefaultParagraphFont"/>
    <w:link w:val="Header"/>
    <w:rsid w:val="0024270D"/>
    <w:rPr>
      <w:sz w:val="24"/>
      <w:szCs w:val="24"/>
      <w:lang w:eastAsia="en-US"/>
    </w:rPr>
  </w:style>
  <w:style w:type="paragraph" w:styleId="Footer">
    <w:name w:val="footer"/>
    <w:basedOn w:val="Normal"/>
    <w:link w:val="FooterChar"/>
    <w:rsid w:val="0024270D"/>
    <w:pPr>
      <w:tabs>
        <w:tab w:val="center" w:pos="4513"/>
        <w:tab w:val="right" w:pos="9026"/>
      </w:tabs>
    </w:pPr>
  </w:style>
  <w:style w:type="character" w:customStyle="1" w:styleId="FooterChar">
    <w:name w:val="Footer Char"/>
    <w:basedOn w:val="DefaultParagraphFont"/>
    <w:link w:val="Footer"/>
    <w:rsid w:val="0024270D"/>
    <w:rPr>
      <w:sz w:val="24"/>
      <w:szCs w:val="24"/>
      <w:lang w:eastAsia="en-US"/>
    </w:rPr>
  </w:style>
  <w:style w:type="table" w:styleId="TableGrid">
    <w:name w:val="Table Grid"/>
    <w:basedOn w:val="TableNormal"/>
    <w:rsid w:val="002427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2112586">
      <w:bodyDiv w:val="1"/>
      <w:marLeft w:val="0"/>
      <w:marRight w:val="0"/>
      <w:marTop w:val="0"/>
      <w:marBottom w:val="0"/>
      <w:divBdr>
        <w:top w:val="none" w:sz="0" w:space="0" w:color="auto"/>
        <w:left w:val="none" w:sz="0" w:space="0" w:color="auto"/>
        <w:bottom w:val="none" w:sz="0" w:space="0" w:color="auto"/>
        <w:right w:val="none" w:sz="0" w:space="0" w:color="auto"/>
      </w:divBdr>
      <w:divsChild>
        <w:div w:id="643193038">
          <w:marLeft w:val="150"/>
          <w:marRight w:val="150"/>
          <w:marTop w:val="0"/>
          <w:marBottom w:val="0"/>
          <w:divBdr>
            <w:top w:val="none" w:sz="0" w:space="0" w:color="auto"/>
            <w:left w:val="none" w:sz="0" w:space="0" w:color="auto"/>
            <w:bottom w:val="none" w:sz="0" w:space="0" w:color="auto"/>
            <w:right w:val="none" w:sz="0" w:space="0" w:color="auto"/>
          </w:divBdr>
          <w:divsChild>
            <w:div w:id="1238050596">
              <w:marLeft w:val="2535"/>
              <w:marRight w:val="0"/>
              <w:marTop w:val="0"/>
              <w:marBottom w:val="0"/>
              <w:divBdr>
                <w:top w:val="none" w:sz="0" w:space="0" w:color="auto"/>
                <w:left w:val="none" w:sz="0" w:space="0" w:color="auto"/>
                <w:bottom w:val="none" w:sz="0" w:space="0" w:color="auto"/>
                <w:right w:val="none" w:sz="0" w:space="0" w:color="auto"/>
              </w:divBdr>
              <w:divsChild>
                <w:div w:id="2147353358">
                  <w:marLeft w:val="0"/>
                  <w:marRight w:val="0"/>
                  <w:marTop w:val="0"/>
                  <w:marBottom w:val="0"/>
                  <w:divBdr>
                    <w:top w:val="none" w:sz="0" w:space="0" w:color="auto"/>
                    <w:left w:val="none" w:sz="0" w:space="0" w:color="auto"/>
                    <w:bottom w:val="none" w:sz="0" w:space="0" w:color="auto"/>
                    <w:right w:val="none" w:sz="0" w:space="0" w:color="auto"/>
                  </w:divBdr>
                  <w:divsChild>
                    <w:div w:id="1491755241">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401</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DATA PROTECTION ACT 1998</vt:lpstr>
    </vt:vector>
  </TitlesOfParts>
  <Company>University of Manchester</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ACT 1998</dc:title>
  <dc:subject/>
  <dc:creator>Mciso</dc:creator>
  <cp:keywords/>
  <dc:description/>
  <cp:lastModifiedBy>Barbara Frost</cp:lastModifiedBy>
  <cp:revision>5</cp:revision>
  <cp:lastPrinted>2011-04-13T14:42:00Z</cp:lastPrinted>
  <dcterms:created xsi:type="dcterms:W3CDTF">2011-04-13T14:28:00Z</dcterms:created>
  <dcterms:modified xsi:type="dcterms:W3CDTF">2011-04-13T14:57:00Z</dcterms:modified>
</cp:coreProperties>
</file>