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0E5" w:rsidRDefault="0086677C" w:rsidP="0086677C">
      <w:pPr>
        <w:jc w:val="center"/>
        <w:rPr>
          <w:b/>
          <w:sz w:val="28"/>
          <w:szCs w:val="28"/>
        </w:rPr>
      </w:pPr>
      <w:bookmarkStart w:id="0" w:name="_GoBack"/>
      <w:bookmarkEnd w:id="0"/>
      <w:r w:rsidRPr="0086677C">
        <w:rPr>
          <w:b/>
          <w:sz w:val="28"/>
          <w:szCs w:val="28"/>
        </w:rPr>
        <w:t>IPCITI 2018</w:t>
      </w:r>
      <w:r>
        <w:rPr>
          <w:b/>
          <w:sz w:val="28"/>
          <w:szCs w:val="28"/>
        </w:rPr>
        <w:t xml:space="preserve"> – Report for </w:t>
      </w:r>
      <w:proofErr w:type="spellStart"/>
      <w:r w:rsidR="00C96F8C">
        <w:rPr>
          <w:b/>
          <w:sz w:val="28"/>
          <w:szCs w:val="28"/>
        </w:rPr>
        <w:t>artsmethods@manchester</w:t>
      </w:r>
      <w:proofErr w:type="spellEnd"/>
    </w:p>
    <w:p w:rsidR="002A62AD" w:rsidRDefault="002A62AD" w:rsidP="0086677C">
      <w:pPr>
        <w:jc w:val="center"/>
        <w:rPr>
          <w:b/>
          <w:sz w:val="28"/>
          <w:szCs w:val="28"/>
        </w:rPr>
      </w:pPr>
    </w:p>
    <w:p w:rsidR="002A62AD" w:rsidRPr="002A62AD" w:rsidRDefault="002A62AD" w:rsidP="002A62AD">
      <w:pPr>
        <w:pStyle w:val="ListParagraph"/>
        <w:numPr>
          <w:ilvl w:val="0"/>
          <w:numId w:val="1"/>
        </w:numPr>
        <w:rPr>
          <w:b/>
          <w:i/>
          <w:sz w:val="24"/>
          <w:szCs w:val="24"/>
        </w:rPr>
      </w:pPr>
      <w:r w:rsidRPr="002A62AD">
        <w:rPr>
          <w:b/>
          <w:i/>
          <w:sz w:val="24"/>
          <w:szCs w:val="24"/>
        </w:rPr>
        <w:t>About the Event</w:t>
      </w:r>
    </w:p>
    <w:p w:rsidR="002A62AD" w:rsidRDefault="002A62AD" w:rsidP="002A62AD">
      <w:pPr>
        <w:pStyle w:val="NormalWeb"/>
        <w:jc w:val="center"/>
        <w:rPr>
          <w:rFonts w:asciiTheme="minorHAnsi" w:hAnsiTheme="minorHAnsi"/>
          <w:b/>
        </w:rPr>
      </w:pPr>
      <w:r w:rsidRPr="00605C52">
        <w:rPr>
          <w:rFonts w:asciiTheme="minorHAnsi" w:hAnsiTheme="minorHAnsi"/>
          <w:b/>
        </w:rPr>
        <w:t xml:space="preserve">IPCITI 2018 | Negotiating Power in Translation and Interpreting: </w:t>
      </w:r>
    </w:p>
    <w:p w:rsidR="002A62AD" w:rsidRPr="00605C52" w:rsidRDefault="002A62AD" w:rsidP="002A62AD">
      <w:pPr>
        <w:pStyle w:val="NormalWeb"/>
        <w:jc w:val="center"/>
        <w:rPr>
          <w:rFonts w:asciiTheme="minorHAnsi" w:hAnsiTheme="minorHAnsi"/>
          <w:b/>
        </w:rPr>
      </w:pPr>
      <w:r w:rsidRPr="00605C52">
        <w:rPr>
          <w:rFonts w:asciiTheme="minorHAnsi" w:hAnsiTheme="minorHAnsi"/>
          <w:b/>
        </w:rPr>
        <w:t>Agency, Representation, Ideology</w:t>
      </w:r>
    </w:p>
    <w:p w:rsidR="002A62AD" w:rsidRPr="00605C52" w:rsidRDefault="002A62AD" w:rsidP="002A62AD">
      <w:pPr>
        <w:pStyle w:val="NormalWeb"/>
        <w:jc w:val="both"/>
        <w:rPr>
          <w:rFonts w:asciiTheme="minorHAnsi" w:hAnsiTheme="minorHAnsi"/>
        </w:rPr>
      </w:pPr>
      <w:r>
        <w:rPr>
          <w:rFonts w:asciiTheme="minorHAnsi" w:hAnsiTheme="minorHAnsi"/>
        </w:rPr>
        <w:t>I</w:t>
      </w:r>
      <w:r w:rsidRPr="00605C52">
        <w:rPr>
          <w:rFonts w:asciiTheme="minorHAnsi" w:hAnsiTheme="minorHAnsi"/>
        </w:rPr>
        <w:t xml:space="preserve">PCITI is designed to provide PhD and early career researchers from various areas of translation and interpreting studies with the opportunity to share their research with peers in a supportive and intellectually stimulating environment. This year’s iteration of the event </w:t>
      </w:r>
      <w:r w:rsidR="00C96F8C">
        <w:rPr>
          <w:rFonts w:asciiTheme="minorHAnsi" w:hAnsiTheme="minorHAnsi"/>
        </w:rPr>
        <w:t>explored</w:t>
      </w:r>
      <w:r w:rsidRPr="00605C52">
        <w:rPr>
          <w:rFonts w:asciiTheme="minorHAnsi" w:hAnsiTheme="minorHAnsi"/>
        </w:rPr>
        <w:t xml:space="preserve"> the various conceptions of power that shape the </w:t>
      </w:r>
      <w:proofErr w:type="gramStart"/>
      <w:r w:rsidRPr="00605C52">
        <w:rPr>
          <w:rFonts w:asciiTheme="minorHAnsi" w:hAnsiTheme="minorHAnsi"/>
        </w:rPr>
        <w:t>discipline’s understanding</w:t>
      </w:r>
      <w:proofErr w:type="gramEnd"/>
      <w:r w:rsidRPr="00605C52">
        <w:rPr>
          <w:rFonts w:asciiTheme="minorHAnsi" w:hAnsiTheme="minorHAnsi"/>
        </w:rPr>
        <w:t xml:space="preserve"> of its own position as well as that of its objects: the people, processes and products that shape professional and voluntary interlingual transactions.</w:t>
      </w:r>
    </w:p>
    <w:p w:rsidR="002A62AD" w:rsidRDefault="002A62AD" w:rsidP="002A62AD">
      <w:pPr>
        <w:pStyle w:val="NormalWeb"/>
        <w:numPr>
          <w:ilvl w:val="0"/>
          <w:numId w:val="1"/>
        </w:numPr>
        <w:jc w:val="both"/>
        <w:rPr>
          <w:rFonts w:asciiTheme="minorHAnsi" w:hAnsiTheme="minorHAnsi"/>
          <w:b/>
          <w:i/>
        </w:rPr>
      </w:pPr>
      <w:r w:rsidRPr="002A62AD">
        <w:rPr>
          <w:rFonts w:asciiTheme="minorHAnsi" w:hAnsiTheme="minorHAnsi"/>
          <w:b/>
          <w:i/>
        </w:rPr>
        <w:t>Attendance</w:t>
      </w:r>
      <w:r w:rsidR="00C96F8C">
        <w:rPr>
          <w:rFonts w:asciiTheme="minorHAnsi" w:hAnsiTheme="minorHAnsi"/>
          <w:b/>
          <w:i/>
        </w:rPr>
        <w:t xml:space="preserve"> and programme</w:t>
      </w:r>
      <w:r w:rsidRPr="002A62AD">
        <w:rPr>
          <w:rFonts w:asciiTheme="minorHAnsi" w:hAnsiTheme="minorHAnsi"/>
          <w:b/>
          <w:i/>
        </w:rPr>
        <w:t xml:space="preserve"> </w:t>
      </w:r>
    </w:p>
    <w:p w:rsidR="00C96F8C" w:rsidRDefault="002A62AD" w:rsidP="00C96F8C">
      <w:pPr>
        <w:pStyle w:val="NormalWeb"/>
        <w:jc w:val="both"/>
        <w:rPr>
          <w:rFonts w:asciiTheme="minorHAnsi" w:hAnsiTheme="minorHAnsi"/>
        </w:rPr>
      </w:pPr>
      <w:r>
        <w:rPr>
          <w:rFonts w:asciiTheme="minorHAnsi" w:hAnsiTheme="minorHAnsi"/>
        </w:rPr>
        <w:t xml:space="preserve">The conference attracted </w:t>
      </w:r>
      <w:r w:rsidR="007A3D46">
        <w:rPr>
          <w:rFonts w:asciiTheme="minorHAnsi" w:hAnsiTheme="minorHAnsi"/>
        </w:rPr>
        <w:t xml:space="preserve">seventy-four </w:t>
      </w:r>
      <w:r>
        <w:rPr>
          <w:rFonts w:asciiTheme="minorHAnsi" w:hAnsiTheme="minorHAnsi"/>
        </w:rPr>
        <w:t xml:space="preserve">attendees representing </w:t>
      </w:r>
      <w:r w:rsidR="007A3D46">
        <w:rPr>
          <w:rFonts w:asciiTheme="minorHAnsi" w:hAnsiTheme="minorHAnsi"/>
        </w:rPr>
        <w:t xml:space="preserve">thirty-one </w:t>
      </w:r>
      <w:r>
        <w:rPr>
          <w:rFonts w:asciiTheme="minorHAnsi" w:hAnsiTheme="minorHAnsi"/>
        </w:rPr>
        <w:t xml:space="preserve">universities located across Europe, South-America and Asia. </w:t>
      </w:r>
      <w:r w:rsidR="007A3D46">
        <w:rPr>
          <w:rFonts w:asciiTheme="minorHAnsi" w:hAnsiTheme="minorHAnsi"/>
        </w:rPr>
        <w:t>Apart from pre-conference workshops</w:t>
      </w:r>
      <w:r w:rsidR="00C96F8C">
        <w:rPr>
          <w:rFonts w:asciiTheme="minorHAnsi" w:hAnsiTheme="minorHAnsi"/>
        </w:rPr>
        <w:t xml:space="preserve"> (one on using a corpus-based methodology in translation studies and one on publishing in the field)</w:t>
      </w:r>
      <w:r w:rsidR="007A3D46">
        <w:rPr>
          <w:rFonts w:asciiTheme="minorHAnsi" w:hAnsiTheme="minorHAnsi"/>
        </w:rPr>
        <w:t xml:space="preserve"> and keynote speeches</w:t>
      </w:r>
      <w:r w:rsidR="00C96F8C">
        <w:rPr>
          <w:rFonts w:asciiTheme="minorHAnsi" w:hAnsiTheme="minorHAnsi"/>
        </w:rPr>
        <w:t xml:space="preserve"> (sharing </w:t>
      </w:r>
      <w:r w:rsidR="00A825B0">
        <w:rPr>
          <w:rFonts w:asciiTheme="minorHAnsi" w:hAnsiTheme="minorHAnsi"/>
        </w:rPr>
        <w:t>a focus on</w:t>
      </w:r>
      <w:r w:rsidR="00C96F8C">
        <w:rPr>
          <w:rFonts w:asciiTheme="minorHAnsi" w:hAnsiTheme="minorHAnsi"/>
        </w:rPr>
        <w:t xml:space="preserve"> the dynamics between agency and institutions)</w:t>
      </w:r>
      <w:r w:rsidR="007A3D46">
        <w:rPr>
          <w:rFonts w:asciiTheme="minorHAnsi" w:hAnsiTheme="minorHAnsi"/>
        </w:rPr>
        <w:t>, twenty-three talks were delivered spread across a variety of thematic sessions</w:t>
      </w:r>
      <w:r w:rsidR="00C96F8C">
        <w:rPr>
          <w:rFonts w:asciiTheme="minorHAnsi" w:hAnsiTheme="minorHAnsi"/>
        </w:rPr>
        <w:t xml:space="preserve"> (such as censorship and activism)</w:t>
      </w:r>
      <w:r w:rsidR="007A3D46">
        <w:rPr>
          <w:rFonts w:asciiTheme="minorHAnsi" w:hAnsiTheme="minorHAnsi"/>
        </w:rPr>
        <w:t xml:space="preserve">, with multiple disciplinary connections </w:t>
      </w:r>
      <w:r w:rsidR="006B2DE7">
        <w:rPr>
          <w:rFonts w:asciiTheme="minorHAnsi" w:hAnsiTheme="minorHAnsi"/>
        </w:rPr>
        <w:t xml:space="preserve">being </w:t>
      </w:r>
      <w:r w:rsidR="007A3D46">
        <w:rPr>
          <w:rFonts w:asciiTheme="minorHAnsi" w:hAnsiTheme="minorHAnsi"/>
        </w:rPr>
        <w:t xml:space="preserve">established between translation studies, linguistics, and sociology. </w:t>
      </w:r>
    </w:p>
    <w:p w:rsidR="007A3D46" w:rsidRDefault="007A3D46" w:rsidP="00C96F8C">
      <w:pPr>
        <w:pStyle w:val="NormalWeb"/>
        <w:numPr>
          <w:ilvl w:val="0"/>
          <w:numId w:val="1"/>
        </w:numPr>
        <w:jc w:val="both"/>
        <w:rPr>
          <w:rFonts w:asciiTheme="minorHAnsi" w:hAnsiTheme="minorHAnsi"/>
          <w:b/>
          <w:i/>
        </w:rPr>
      </w:pPr>
      <w:r w:rsidRPr="007A3D46">
        <w:rPr>
          <w:rFonts w:asciiTheme="minorHAnsi" w:hAnsiTheme="minorHAnsi"/>
          <w:b/>
          <w:i/>
        </w:rPr>
        <w:t>Outcome</w:t>
      </w:r>
    </w:p>
    <w:p w:rsidR="00C96F8C" w:rsidRPr="00C96F8C" w:rsidRDefault="007A3D46" w:rsidP="007A3D46">
      <w:pPr>
        <w:pStyle w:val="NormalWeb"/>
        <w:jc w:val="both"/>
        <w:rPr>
          <w:rFonts w:asciiTheme="minorHAnsi" w:hAnsiTheme="minorHAnsi"/>
        </w:rPr>
      </w:pPr>
      <w:r>
        <w:rPr>
          <w:rFonts w:asciiTheme="minorHAnsi" w:hAnsiTheme="minorHAnsi"/>
        </w:rPr>
        <w:t xml:space="preserve">The conference went smoothly and </w:t>
      </w:r>
      <w:r w:rsidR="00A83317">
        <w:rPr>
          <w:rFonts w:asciiTheme="minorHAnsi" w:hAnsiTheme="minorHAnsi"/>
        </w:rPr>
        <w:t>did not face</w:t>
      </w:r>
      <w:r>
        <w:rPr>
          <w:rFonts w:asciiTheme="minorHAnsi" w:hAnsiTheme="minorHAnsi"/>
        </w:rPr>
        <w:t xml:space="preserve"> any major issues. Reactions of the public were unanimously positive, and the various networking opportunities delivered by the conference have led to the established of meaningful interinstitutional and interdisciplinary ties. We are in the process of gathering more detailed feedback from attendees to make sure that the next instalment of IPCITI is equally successful. </w:t>
      </w:r>
      <w:r w:rsidR="00C96F8C">
        <w:rPr>
          <w:rFonts w:asciiTheme="minorHAnsi" w:hAnsiTheme="minorHAnsi"/>
        </w:rPr>
        <w:t xml:space="preserve">Furthermore, the academic journal </w:t>
      </w:r>
      <w:r w:rsidR="00C96F8C">
        <w:rPr>
          <w:rFonts w:asciiTheme="minorHAnsi" w:hAnsiTheme="minorHAnsi"/>
          <w:i/>
        </w:rPr>
        <w:t>New Voices in Translation studies</w:t>
      </w:r>
      <w:r w:rsidR="00C96F8C">
        <w:rPr>
          <w:rFonts w:asciiTheme="minorHAnsi" w:hAnsiTheme="minorHAnsi"/>
        </w:rPr>
        <w:t xml:space="preserve"> will publish a special issue dedicated to the conference theme and edited by members of the organising committee. The publication will come out in May 2019.  </w:t>
      </w:r>
    </w:p>
    <w:p w:rsidR="007A3D46" w:rsidRPr="007A3D46" w:rsidRDefault="007A3D46" w:rsidP="007A3D46">
      <w:pPr>
        <w:pStyle w:val="NormalWeb"/>
        <w:numPr>
          <w:ilvl w:val="0"/>
          <w:numId w:val="1"/>
        </w:numPr>
        <w:jc w:val="both"/>
        <w:rPr>
          <w:rFonts w:asciiTheme="minorHAnsi" w:hAnsiTheme="minorHAnsi"/>
          <w:b/>
          <w:i/>
        </w:rPr>
      </w:pPr>
      <w:r w:rsidRPr="007A3D46">
        <w:rPr>
          <w:rFonts w:asciiTheme="minorHAnsi" w:hAnsiTheme="minorHAnsi"/>
          <w:b/>
          <w:i/>
        </w:rPr>
        <w:t>Expenditure</w:t>
      </w:r>
    </w:p>
    <w:p w:rsidR="0086677C" w:rsidRDefault="007A3D46" w:rsidP="005441EF">
      <w:pPr>
        <w:jc w:val="both"/>
        <w:rPr>
          <w:sz w:val="24"/>
          <w:szCs w:val="24"/>
        </w:rPr>
      </w:pPr>
      <w:r w:rsidRPr="007A3D46">
        <w:rPr>
          <w:sz w:val="24"/>
          <w:szCs w:val="24"/>
        </w:rPr>
        <w:t>Fu</w:t>
      </w:r>
      <w:r>
        <w:rPr>
          <w:sz w:val="24"/>
          <w:szCs w:val="24"/>
        </w:rPr>
        <w:t xml:space="preserve">nding from </w:t>
      </w:r>
      <w:proofErr w:type="spellStart"/>
      <w:r w:rsidR="00C96F8C">
        <w:rPr>
          <w:sz w:val="24"/>
          <w:szCs w:val="24"/>
        </w:rPr>
        <w:t>artsmethods@manchester</w:t>
      </w:r>
      <w:proofErr w:type="spellEnd"/>
      <w:r>
        <w:rPr>
          <w:sz w:val="24"/>
          <w:szCs w:val="24"/>
        </w:rPr>
        <w:t xml:space="preserve"> has been gratefully acknowledged multiple times during the conference. </w:t>
      </w:r>
      <w:r w:rsidR="005441EF">
        <w:rPr>
          <w:sz w:val="24"/>
          <w:szCs w:val="24"/>
        </w:rPr>
        <w:t xml:space="preserve">The event was also supported by </w:t>
      </w:r>
      <w:r w:rsidR="00C96F8C">
        <w:rPr>
          <w:sz w:val="24"/>
          <w:szCs w:val="24"/>
        </w:rPr>
        <w:t>the Confucius Institute</w:t>
      </w:r>
      <w:r w:rsidR="005441EF">
        <w:rPr>
          <w:sz w:val="24"/>
          <w:szCs w:val="24"/>
        </w:rPr>
        <w:t xml:space="preserve">, and the by the AHRC through the NWDCTP Cohort Development Fund. The money we received </w:t>
      </w:r>
      <w:r w:rsidR="00C96F8C">
        <w:rPr>
          <w:sz w:val="24"/>
          <w:szCs w:val="24"/>
        </w:rPr>
        <w:t xml:space="preserve">from </w:t>
      </w:r>
      <w:proofErr w:type="spellStart"/>
      <w:r w:rsidR="00C96F8C">
        <w:rPr>
          <w:sz w:val="24"/>
          <w:szCs w:val="24"/>
        </w:rPr>
        <w:t>artsmethods</w:t>
      </w:r>
      <w:proofErr w:type="spellEnd"/>
      <w:r w:rsidR="005441EF">
        <w:rPr>
          <w:sz w:val="24"/>
          <w:szCs w:val="24"/>
        </w:rPr>
        <w:t xml:space="preserve"> was spent on </w:t>
      </w:r>
      <w:r w:rsidR="00C96F8C">
        <w:rPr>
          <w:sz w:val="24"/>
          <w:szCs w:val="24"/>
        </w:rPr>
        <w:t xml:space="preserve">one keynote </w:t>
      </w:r>
      <w:proofErr w:type="spellStart"/>
      <w:r w:rsidR="00C96F8C">
        <w:rPr>
          <w:sz w:val="24"/>
          <w:szCs w:val="24"/>
        </w:rPr>
        <w:t>speaker’s</w:t>
      </w:r>
      <w:proofErr w:type="spellEnd"/>
      <w:r w:rsidR="00C96F8C">
        <w:rPr>
          <w:sz w:val="24"/>
          <w:szCs w:val="24"/>
        </w:rPr>
        <w:t xml:space="preserve"> travel (£300) and </w:t>
      </w:r>
      <w:r w:rsidR="002E4D09">
        <w:rPr>
          <w:sz w:val="24"/>
          <w:szCs w:val="24"/>
        </w:rPr>
        <w:t>accommodation</w:t>
      </w:r>
      <w:r w:rsidR="005441EF">
        <w:rPr>
          <w:sz w:val="24"/>
          <w:szCs w:val="24"/>
        </w:rPr>
        <w:t xml:space="preserve"> (£</w:t>
      </w:r>
      <w:r w:rsidR="00C96F8C">
        <w:rPr>
          <w:sz w:val="24"/>
          <w:szCs w:val="24"/>
        </w:rPr>
        <w:t xml:space="preserve">157), our programme booklet (£40), </w:t>
      </w:r>
      <w:r w:rsidR="005441EF">
        <w:rPr>
          <w:sz w:val="24"/>
          <w:szCs w:val="24"/>
        </w:rPr>
        <w:t xml:space="preserve">and </w:t>
      </w:r>
      <w:r w:rsidR="00C96F8C">
        <w:rPr>
          <w:sz w:val="24"/>
          <w:szCs w:val="24"/>
        </w:rPr>
        <w:t>refreshments</w:t>
      </w:r>
      <w:r w:rsidR="005441EF">
        <w:rPr>
          <w:sz w:val="24"/>
          <w:szCs w:val="24"/>
        </w:rPr>
        <w:t xml:space="preserve"> (£</w:t>
      </w:r>
      <w:r w:rsidR="00C96F8C">
        <w:rPr>
          <w:sz w:val="24"/>
          <w:szCs w:val="24"/>
        </w:rPr>
        <w:t>243</w:t>
      </w:r>
      <w:r w:rsidR="005441EF">
        <w:rPr>
          <w:sz w:val="24"/>
          <w:szCs w:val="24"/>
        </w:rPr>
        <w:t xml:space="preserve">). </w:t>
      </w:r>
    </w:p>
    <w:p w:rsidR="009E2CA9" w:rsidRDefault="009E2CA9" w:rsidP="005441EF">
      <w:pPr>
        <w:jc w:val="both"/>
        <w:rPr>
          <w:sz w:val="24"/>
          <w:szCs w:val="24"/>
        </w:rPr>
      </w:pPr>
    </w:p>
    <w:p w:rsidR="009E2CA9" w:rsidRPr="009E2CA9" w:rsidRDefault="009E2CA9" w:rsidP="009E2CA9">
      <w:pPr>
        <w:pStyle w:val="ListParagraph"/>
        <w:numPr>
          <w:ilvl w:val="0"/>
          <w:numId w:val="1"/>
        </w:numPr>
        <w:jc w:val="both"/>
        <w:rPr>
          <w:b/>
          <w:i/>
          <w:sz w:val="24"/>
          <w:szCs w:val="24"/>
        </w:rPr>
      </w:pPr>
      <w:r w:rsidRPr="009E2CA9">
        <w:rPr>
          <w:b/>
          <w:i/>
          <w:sz w:val="24"/>
          <w:szCs w:val="24"/>
        </w:rPr>
        <w:lastRenderedPageBreak/>
        <w:t xml:space="preserve">Promotional Material </w:t>
      </w:r>
    </w:p>
    <w:p w:rsidR="009E2CA9" w:rsidRDefault="009E2CA9" w:rsidP="009E2CA9">
      <w:pPr>
        <w:pStyle w:val="ListParagraph"/>
        <w:jc w:val="both"/>
        <w:rPr>
          <w:sz w:val="24"/>
          <w:szCs w:val="24"/>
        </w:rPr>
      </w:pPr>
    </w:p>
    <w:p w:rsidR="00CD7CC8" w:rsidRDefault="002B3944" w:rsidP="00CD7CC8">
      <w:pPr>
        <w:pStyle w:val="ListParagraph"/>
        <w:ind w:left="0"/>
        <w:jc w:val="both"/>
        <w:rPr>
          <w:sz w:val="24"/>
          <w:szCs w:val="24"/>
        </w:rPr>
      </w:pPr>
      <w:r>
        <w:rPr>
          <w:sz w:val="24"/>
          <w:szCs w:val="24"/>
        </w:rPr>
        <w:t>The conference was well advertised within the University (see poster below), and on the internet, mainly through our website (ipciti.org.uk) and our</w:t>
      </w:r>
      <w:r w:rsidR="00A83317">
        <w:rPr>
          <w:sz w:val="24"/>
          <w:szCs w:val="24"/>
        </w:rPr>
        <w:t xml:space="preserve"> popular</w:t>
      </w:r>
      <w:r>
        <w:rPr>
          <w:sz w:val="24"/>
          <w:szCs w:val="24"/>
        </w:rPr>
        <w:t xml:space="preserve"> Twitter page (http://twitter.com/ipciti). Promotional material handed out at the conference itself consisted of a book of abstracts, a pen, and a lanyard with name badge (see below). </w:t>
      </w:r>
    </w:p>
    <w:p w:rsidR="00CD7CC8" w:rsidRDefault="00CD7CC8" w:rsidP="00CD7CC8">
      <w:pPr>
        <w:pStyle w:val="ListParagraph"/>
        <w:ind w:left="0"/>
        <w:jc w:val="both"/>
        <w:rPr>
          <w:sz w:val="24"/>
          <w:szCs w:val="24"/>
        </w:rPr>
      </w:pPr>
    </w:p>
    <w:p w:rsidR="00CD7CC8" w:rsidRDefault="00CD7CC8" w:rsidP="00CD7CC8">
      <w:pPr>
        <w:pStyle w:val="ListParagraph"/>
        <w:ind w:left="0"/>
        <w:jc w:val="both"/>
        <w:rPr>
          <w:sz w:val="24"/>
          <w:szCs w:val="24"/>
        </w:rPr>
      </w:pPr>
    </w:p>
    <w:p w:rsidR="009E2CA9" w:rsidRDefault="002B3944" w:rsidP="00CD7CC8">
      <w:pPr>
        <w:pStyle w:val="ListParagraph"/>
        <w:ind w:left="0"/>
        <w:jc w:val="both"/>
        <w:rPr>
          <w:sz w:val="24"/>
          <w:szCs w:val="24"/>
        </w:rPr>
      </w:pPr>
      <w:r>
        <w:rPr>
          <w:noProof/>
          <w:sz w:val="24"/>
          <w:szCs w:val="24"/>
        </w:rPr>
        <w:drawing>
          <wp:inline distT="0" distB="0" distL="0" distR="0" wp14:anchorId="4D798214" wp14:editId="49801EDE">
            <wp:extent cx="4486940" cy="6346709"/>
            <wp:effectExtent l="0" t="0" r="8890" b="0"/>
            <wp:docPr id="1" name="Picture 1" descr="\\nask.man.ac.uk\home$\Desktop\Web_Poster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Web_Poster_20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4870" cy="6357927"/>
                    </a:xfrm>
                    <a:prstGeom prst="rect">
                      <a:avLst/>
                    </a:prstGeom>
                    <a:noFill/>
                    <a:ln>
                      <a:noFill/>
                    </a:ln>
                  </pic:spPr>
                </pic:pic>
              </a:graphicData>
            </a:graphic>
          </wp:inline>
        </w:drawing>
      </w:r>
    </w:p>
    <w:p w:rsidR="002B3944" w:rsidRDefault="002B3944" w:rsidP="009E2CA9">
      <w:pPr>
        <w:pStyle w:val="ListParagraph"/>
        <w:jc w:val="both"/>
        <w:rPr>
          <w:sz w:val="24"/>
          <w:szCs w:val="24"/>
        </w:rPr>
      </w:pPr>
    </w:p>
    <w:p w:rsidR="002B3944" w:rsidRDefault="002B3944" w:rsidP="009E2CA9">
      <w:pPr>
        <w:pStyle w:val="ListParagraph"/>
        <w:jc w:val="both"/>
        <w:rPr>
          <w:sz w:val="24"/>
          <w:szCs w:val="24"/>
        </w:rPr>
      </w:pPr>
    </w:p>
    <w:p w:rsidR="002B3944" w:rsidRDefault="002B3944" w:rsidP="009E2CA9">
      <w:pPr>
        <w:pStyle w:val="ListParagraph"/>
        <w:jc w:val="both"/>
        <w:rPr>
          <w:sz w:val="24"/>
          <w:szCs w:val="24"/>
        </w:rPr>
      </w:pPr>
    </w:p>
    <w:p w:rsidR="00916201" w:rsidRDefault="00916201" w:rsidP="009E2CA9">
      <w:pPr>
        <w:pStyle w:val="ListParagraph"/>
        <w:jc w:val="both"/>
        <w:rPr>
          <w:sz w:val="24"/>
          <w:szCs w:val="24"/>
        </w:rPr>
      </w:pPr>
      <w:r>
        <w:rPr>
          <w:noProof/>
          <w:sz w:val="24"/>
          <w:szCs w:val="24"/>
        </w:rPr>
        <w:lastRenderedPageBreak/>
        <w:drawing>
          <wp:inline distT="0" distB="0" distL="0" distR="0">
            <wp:extent cx="2636874" cy="4689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na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0818" cy="4696807"/>
                    </a:xfrm>
                    <a:prstGeom prst="rect">
                      <a:avLst/>
                    </a:prstGeom>
                  </pic:spPr>
                </pic:pic>
              </a:graphicData>
            </a:graphic>
          </wp:inline>
        </w:drawing>
      </w:r>
    </w:p>
    <w:p w:rsidR="00916201" w:rsidRDefault="00916201" w:rsidP="009E2CA9">
      <w:pPr>
        <w:pStyle w:val="ListParagraph"/>
        <w:jc w:val="both"/>
        <w:rPr>
          <w:sz w:val="24"/>
          <w:szCs w:val="24"/>
        </w:rPr>
      </w:pPr>
    </w:p>
    <w:p w:rsidR="00916201" w:rsidRDefault="00916201" w:rsidP="009E2CA9">
      <w:pPr>
        <w:pStyle w:val="ListParagraph"/>
        <w:jc w:val="both"/>
        <w:rPr>
          <w:sz w:val="24"/>
          <w:szCs w:val="24"/>
        </w:rPr>
      </w:pPr>
    </w:p>
    <w:p w:rsidR="00916201" w:rsidRDefault="00916201" w:rsidP="009E2CA9">
      <w:pPr>
        <w:pStyle w:val="ListParagraph"/>
        <w:jc w:val="both"/>
        <w:rPr>
          <w:sz w:val="24"/>
          <w:szCs w:val="24"/>
        </w:rPr>
      </w:pPr>
    </w:p>
    <w:p w:rsidR="002B3944" w:rsidRDefault="00916201" w:rsidP="009E2CA9">
      <w:pPr>
        <w:pStyle w:val="ListParagraph"/>
        <w:jc w:val="both"/>
        <w:rPr>
          <w:sz w:val="24"/>
          <w:szCs w:val="24"/>
        </w:rPr>
      </w:pPr>
      <w:r>
        <w:rPr>
          <w:noProof/>
          <w:sz w:val="24"/>
          <w:szCs w:val="24"/>
        </w:rPr>
        <w:drawing>
          <wp:inline distT="0" distB="0" distL="0" distR="0">
            <wp:extent cx="4455042" cy="2505900"/>
            <wp:effectExtent l="0" t="0" r="317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8126" cy="2507635"/>
                    </a:xfrm>
                    <a:prstGeom prst="rect">
                      <a:avLst/>
                    </a:prstGeom>
                  </pic:spPr>
                </pic:pic>
              </a:graphicData>
            </a:graphic>
          </wp:inline>
        </w:drawing>
      </w:r>
    </w:p>
    <w:p w:rsidR="00C96F8C" w:rsidRDefault="00C96F8C" w:rsidP="009E2CA9">
      <w:pPr>
        <w:pStyle w:val="ListParagraph"/>
        <w:jc w:val="both"/>
        <w:rPr>
          <w:sz w:val="24"/>
          <w:szCs w:val="24"/>
        </w:rPr>
      </w:pPr>
    </w:p>
    <w:p w:rsidR="00C96F8C" w:rsidRPr="009E2CA9" w:rsidRDefault="00C96F8C" w:rsidP="009E2CA9">
      <w:pPr>
        <w:pStyle w:val="ListParagraph"/>
        <w:jc w:val="both"/>
        <w:rPr>
          <w:sz w:val="24"/>
          <w:szCs w:val="24"/>
        </w:rPr>
      </w:pPr>
    </w:p>
    <w:sectPr w:rsidR="00C96F8C" w:rsidRPr="009E2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87240"/>
    <w:multiLevelType w:val="hybridMultilevel"/>
    <w:tmpl w:val="AB14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7C"/>
    <w:rsid w:val="002A62AD"/>
    <w:rsid w:val="002B3944"/>
    <w:rsid w:val="002E4D09"/>
    <w:rsid w:val="005441EF"/>
    <w:rsid w:val="005D6871"/>
    <w:rsid w:val="006B2DE7"/>
    <w:rsid w:val="007A3D46"/>
    <w:rsid w:val="007A40E5"/>
    <w:rsid w:val="007D729D"/>
    <w:rsid w:val="0086677C"/>
    <w:rsid w:val="00916201"/>
    <w:rsid w:val="009E2CA9"/>
    <w:rsid w:val="00A825B0"/>
    <w:rsid w:val="00A83317"/>
    <w:rsid w:val="00C96F8C"/>
    <w:rsid w:val="00CD7CC8"/>
    <w:rsid w:val="00F725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77C"/>
    <w:rPr>
      <w:rFonts w:ascii="Tahoma" w:hAnsi="Tahoma" w:cs="Tahoma"/>
      <w:sz w:val="16"/>
      <w:szCs w:val="16"/>
    </w:rPr>
  </w:style>
  <w:style w:type="paragraph" w:styleId="NormalWeb">
    <w:name w:val="Normal (Web)"/>
    <w:basedOn w:val="Normal"/>
    <w:uiPriority w:val="99"/>
    <w:semiHidden/>
    <w:unhideWhenUsed/>
    <w:rsid w:val="002A62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62AD"/>
    <w:pPr>
      <w:ind w:left="720"/>
      <w:contextualSpacing/>
    </w:pPr>
  </w:style>
  <w:style w:type="character" w:styleId="Hyperlink">
    <w:name w:val="Hyperlink"/>
    <w:basedOn w:val="DefaultParagraphFont"/>
    <w:uiPriority w:val="99"/>
    <w:unhideWhenUsed/>
    <w:rsid w:val="002B39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77C"/>
    <w:rPr>
      <w:rFonts w:ascii="Tahoma" w:hAnsi="Tahoma" w:cs="Tahoma"/>
      <w:sz w:val="16"/>
      <w:szCs w:val="16"/>
    </w:rPr>
  </w:style>
  <w:style w:type="paragraph" w:styleId="NormalWeb">
    <w:name w:val="Normal (Web)"/>
    <w:basedOn w:val="Normal"/>
    <w:uiPriority w:val="99"/>
    <w:semiHidden/>
    <w:unhideWhenUsed/>
    <w:rsid w:val="002A62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62AD"/>
    <w:pPr>
      <w:ind w:left="720"/>
      <w:contextualSpacing/>
    </w:pPr>
  </w:style>
  <w:style w:type="character" w:styleId="Hyperlink">
    <w:name w:val="Hyperlink"/>
    <w:basedOn w:val="DefaultParagraphFont"/>
    <w:uiPriority w:val="99"/>
    <w:unhideWhenUsed/>
    <w:rsid w:val="002B3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406</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Buts</dc:creator>
  <cp:lastModifiedBy>Nicola Sheehan</cp:lastModifiedBy>
  <cp:revision>2</cp:revision>
  <dcterms:created xsi:type="dcterms:W3CDTF">2018-11-22T09:54:00Z</dcterms:created>
  <dcterms:modified xsi:type="dcterms:W3CDTF">2018-11-22T09:54:00Z</dcterms:modified>
</cp:coreProperties>
</file>