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4257"/>
      </w:tblGrid>
      <w:tr w:rsidR="00110CCF" w14:paraId="082D496F" w14:textId="77777777" w:rsidTr="00110CCF">
        <w:tc>
          <w:tcPr>
            <w:tcW w:w="4414" w:type="dxa"/>
          </w:tcPr>
          <w:p w14:paraId="492F1E72" w14:textId="77777777" w:rsidR="00110CCF" w:rsidRDefault="00110CCF">
            <w:r w:rsidRPr="00110CCF">
              <w:rPr>
                <w:noProof/>
                <w:lang w:eastAsia="en-GB"/>
              </w:rPr>
              <w:drawing>
                <wp:inline distT="0" distB="0" distL="0" distR="0" wp14:anchorId="582B89D6" wp14:editId="1953AA71">
                  <wp:extent cx="1655064" cy="7010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black.jpg"/>
                          <pic:cNvPicPr/>
                        </pic:nvPicPr>
                        <pic:blipFill>
                          <a:blip r:embed="rId7">
                            <a:extLst>
                              <a:ext uri="{28A0092B-C50C-407E-A947-70E740481C1C}">
                                <a14:useLocalDpi xmlns:a14="http://schemas.microsoft.com/office/drawing/2010/main" val="0"/>
                              </a:ext>
                            </a:extLst>
                          </a:blip>
                          <a:stretch>
                            <a:fillRect/>
                          </a:stretch>
                        </pic:blipFill>
                        <pic:spPr>
                          <a:xfrm>
                            <a:off x="0" y="0"/>
                            <a:ext cx="1655064" cy="701040"/>
                          </a:xfrm>
                          <a:prstGeom prst="rect">
                            <a:avLst/>
                          </a:prstGeom>
                        </pic:spPr>
                      </pic:pic>
                    </a:graphicData>
                  </a:graphic>
                </wp:inline>
              </w:drawing>
            </w:r>
          </w:p>
        </w:tc>
        <w:tc>
          <w:tcPr>
            <w:tcW w:w="4414" w:type="dxa"/>
          </w:tcPr>
          <w:p w14:paraId="2FAFD93A" w14:textId="77777777" w:rsidR="00110CCF" w:rsidRDefault="00110CCF"/>
        </w:tc>
      </w:tr>
    </w:tbl>
    <w:p w14:paraId="47CC73A3" w14:textId="77777777" w:rsidR="008F6712" w:rsidRDefault="008F6712" w:rsidP="00E3488F">
      <w:pPr>
        <w:pStyle w:val="Heading1"/>
      </w:pPr>
    </w:p>
    <w:p w14:paraId="4C66E61D" w14:textId="1D6A8824" w:rsidR="00FF4B2B" w:rsidRDefault="00FF4B2B" w:rsidP="00E3488F">
      <w:pPr>
        <w:pStyle w:val="Heading1"/>
      </w:pPr>
      <w:r w:rsidRPr="00E3488F">
        <w:t xml:space="preserve">Commemoration </w:t>
      </w:r>
      <w:r w:rsidR="00805062">
        <w:t>Procedure</w:t>
      </w:r>
    </w:p>
    <w:p w14:paraId="2296C89E" w14:textId="77777777" w:rsidR="009F09BA" w:rsidRDefault="00AE4BF8" w:rsidP="004E6D80">
      <w:pPr>
        <w:pStyle w:val="Heading2"/>
        <w:jc w:val="both"/>
      </w:pPr>
      <w:r>
        <w:t xml:space="preserve">1. </w:t>
      </w:r>
      <w:r w:rsidR="00FE2232">
        <w:t>Introduction</w:t>
      </w:r>
    </w:p>
    <w:p w14:paraId="0D9B2653" w14:textId="175FEB5A" w:rsidR="009F09BA" w:rsidRDefault="009F09BA" w:rsidP="004E6D80">
      <w:pPr>
        <w:jc w:val="both"/>
      </w:pPr>
      <w:r>
        <w:t xml:space="preserve">This </w:t>
      </w:r>
      <w:r w:rsidR="00805062">
        <w:t>Procedure</w:t>
      </w:r>
      <w:r w:rsidR="003A3116">
        <w:t xml:space="preserve"> </w:t>
      </w:r>
      <w:r w:rsidR="00EA12FD">
        <w:t xml:space="preserve">describes the process through which applications for commemorations by </w:t>
      </w:r>
      <w:r>
        <w:t>University</w:t>
      </w:r>
      <w:r w:rsidR="00C25838">
        <w:t xml:space="preserve"> of Manchester</w:t>
      </w:r>
      <w:r w:rsidR="004F0F87">
        <w:t xml:space="preserve"> </w:t>
      </w:r>
      <w:r w:rsidR="00C25838">
        <w:t>(‘the University’)</w:t>
      </w:r>
      <w:r>
        <w:t xml:space="preserve"> </w:t>
      </w:r>
      <w:r w:rsidR="00EA12FD">
        <w:t xml:space="preserve">are considered. </w:t>
      </w:r>
      <w:r w:rsidR="004F0F87">
        <w:t xml:space="preserve">The </w:t>
      </w:r>
      <w:r w:rsidR="0013439A">
        <w:t xml:space="preserve">associated </w:t>
      </w:r>
      <w:r w:rsidR="004F0F87">
        <w:t xml:space="preserve">policy for this </w:t>
      </w:r>
      <w:r w:rsidR="00805062">
        <w:t>Procedure</w:t>
      </w:r>
      <w:r w:rsidR="004F0F87">
        <w:t xml:space="preserve"> is the University Commemoration Policy.</w:t>
      </w:r>
      <w:r w:rsidR="008A618D">
        <w:t xml:space="preserve"> </w:t>
      </w:r>
    </w:p>
    <w:p w14:paraId="225366A7" w14:textId="77777777" w:rsidR="00111E54" w:rsidRDefault="00111E54" w:rsidP="00111E54">
      <w:pPr>
        <w:pStyle w:val="Heading2"/>
        <w:jc w:val="both"/>
      </w:pPr>
      <w:r>
        <w:t>2. Purpose</w:t>
      </w:r>
    </w:p>
    <w:p w14:paraId="7F3D45BB" w14:textId="096FADEF" w:rsidR="00111E54" w:rsidRPr="001312AF" w:rsidRDefault="00111E54" w:rsidP="001312AF">
      <w:pPr>
        <w:jc w:val="both"/>
      </w:pPr>
      <w:r>
        <w:t xml:space="preserve">This </w:t>
      </w:r>
      <w:r w:rsidR="00805062">
        <w:t>Procedure</w:t>
      </w:r>
      <w:r>
        <w:t xml:space="preserve"> </w:t>
      </w:r>
      <w:r w:rsidR="00EA12FD">
        <w:t xml:space="preserve">sets out the process for applying for a commemoration under the University Commemoration Policy. </w:t>
      </w:r>
      <w:r>
        <w:t xml:space="preserve">Through this </w:t>
      </w:r>
      <w:r w:rsidR="00805062">
        <w:t>Procedure</w:t>
      </w:r>
      <w:r>
        <w:t xml:space="preserve"> the University seeks to ensure that commemorations benefit communities inside and outside the University, lead to greater understandings of the past and reflect the contribution and impact of the University and its predecessor institutions and the people associated with them. </w:t>
      </w:r>
    </w:p>
    <w:p w14:paraId="56D50C68" w14:textId="71DB2E09" w:rsidR="008B73B1" w:rsidRDefault="008B73B1" w:rsidP="008B73B1">
      <w:pPr>
        <w:pStyle w:val="Heading2"/>
        <w:jc w:val="both"/>
      </w:pPr>
      <w:r>
        <w:t>3. Roles and responsibilities</w:t>
      </w:r>
    </w:p>
    <w:p w14:paraId="04646E2D" w14:textId="5B9EC15A" w:rsidR="00F348A6" w:rsidRDefault="00F348A6" w:rsidP="004B4DBF">
      <w:r>
        <w:t xml:space="preserve">The University Historian and Head of Heritage is the lead </w:t>
      </w:r>
      <w:r w:rsidR="00DB5E82">
        <w:t xml:space="preserve">on, </w:t>
      </w:r>
      <w:r>
        <w:t>and owner of</w:t>
      </w:r>
      <w:r w:rsidR="00DB5E82">
        <w:t>,</w:t>
      </w:r>
      <w:r>
        <w:t xml:space="preserve"> the University Commemoration Policy and Procedure</w:t>
      </w:r>
      <w:r w:rsidR="00C26B61">
        <w:t>.</w:t>
      </w:r>
    </w:p>
    <w:p w14:paraId="4DA833C4" w14:textId="77777777" w:rsidR="00F348A6" w:rsidRDefault="00F348A6" w:rsidP="00F348A6">
      <w:pPr>
        <w:ind w:left="360"/>
      </w:pPr>
    </w:p>
    <w:p w14:paraId="52C8DC24" w14:textId="77777777" w:rsidR="00F348A6" w:rsidRDefault="00F348A6" w:rsidP="00E341A8">
      <w:r>
        <w:t>The following individuals and groups have responsibilities for the consideration of applications:</w:t>
      </w:r>
    </w:p>
    <w:p w14:paraId="2DBFA54E" w14:textId="77777777" w:rsidR="00F348A6" w:rsidRDefault="00F348A6" w:rsidP="00F348A6">
      <w:pPr>
        <w:pStyle w:val="ListParagraph"/>
        <w:numPr>
          <w:ilvl w:val="0"/>
          <w:numId w:val="27"/>
        </w:numPr>
      </w:pPr>
      <w:r>
        <w:t>The University Historian and Head of Heritage</w:t>
      </w:r>
    </w:p>
    <w:p w14:paraId="383B0002" w14:textId="25848A5E" w:rsidR="00EB503C" w:rsidRDefault="00EB503C" w:rsidP="00F348A6">
      <w:pPr>
        <w:pStyle w:val="ListParagraph"/>
        <w:numPr>
          <w:ilvl w:val="0"/>
          <w:numId w:val="27"/>
        </w:numPr>
      </w:pPr>
      <w:r>
        <w:t>The University History and Heritage Strategy Group</w:t>
      </w:r>
    </w:p>
    <w:p w14:paraId="46843C84" w14:textId="68BD08FE" w:rsidR="0025421C" w:rsidRDefault="0025421C" w:rsidP="00376994">
      <w:pPr>
        <w:pStyle w:val="ListParagraph"/>
        <w:numPr>
          <w:ilvl w:val="0"/>
          <w:numId w:val="27"/>
        </w:numPr>
      </w:pPr>
      <w:r>
        <w:t xml:space="preserve">The Chair of the </w:t>
      </w:r>
      <w:r w:rsidR="00A272AA">
        <w:t>University History and Heritage Strategy Group</w:t>
      </w:r>
    </w:p>
    <w:p w14:paraId="6D2EC0A7" w14:textId="27C7ABD8" w:rsidR="0093487C" w:rsidRDefault="0093487C" w:rsidP="0093487C">
      <w:pPr>
        <w:pStyle w:val="ListParagraph"/>
        <w:numPr>
          <w:ilvl w:val="0"/>
          <w:numId w:val="27"/>
        </w:numPr>
      </w:pPr>
      <w:r>
        <w:t>The Planning and Resources Committee (and where appropriate, the Board of Governors)</w:t>
      </w:r>
    </w:p>
    <w:p w14:paraId="321836A4" w14:textId="0C53E077" w:rsidR="005F7163" w:rsidRDefault="005F7163" w:rsidP="0093487C">
      <w:pPr>
        <w:pStyle w:val="ListParagraph"/>
        <w:numPr>
          <w:ilvl w:val="0"/>
          <w:numId w:val="27"/>
        </w:numPr>
      </w:pPr>
      <w:r>
        <w:t>The Commemorations Advisory Group (membership listed in under ‘stage 2’ below)</w:t>
      </w:r>
    </w:p>
    <w:p w14:paraId="6E173115" w14:textId="1B510FB1" w:rsidR="00AC4C4E" w:rsidRDefault="00AC4C4E" w:rsidP="00F348A6">
      <w:pPr>
        <w:ind w:left="360"/>
      </w:pPr>
    </w:p>
    <w:p w14:paraId="77C79DB2" w14:textId="6F3E31FD" w:rsidR="00F348A6" w:rsidRDefault="00F348A6" w:rsidP="00E341A8">
      <w:r>
        <w:t>The following individuals and groups have roles and responsibilities in considering and approving an appropriate means of commemoration:</w:t>
      </w:r>
    </w:p>
    <w:p w14:paraId="5C114812" w14:textId="77777777" w:rsidR="00F348A6" w:rsidRDefault="00F348A6" w:rsidP="00F348A6">
      <w:pPr>
        <w:pStyle w:val="ListParagraph"/>
        <w:numPr>
          <w:ilvl w:val="0"/>
          <w:numId w:val="22"/>
        </w:numPr>
        <w:jc w:val="both"/>
      </w:pPr>
      <w:r>
        <w:t>The University Historian and Head of Heritage</w:t>
      </w:r>
    </w:p>
    <w:p w14:paraId="1E06CBAF" w14:textId="77777777" w:rsidR="00F348A6" w:rsidRDefault="00F348A6" w:rsidP="00F348A6">
      <w:pPr>
        <w:pStyle w:val="ListParagraph"/>
        <w:numPr>
          <w:ilvl w:val="0"/>
          <w:numId w:val="22"/>
        </w:numPr>
        <w:jc w:val="both"/>
      </w:pPr>
      <w:r>
        <w:t>The Director of the Office of the President</w:t>
      </w:r>
    </w:p>
    <w:p w14:paraId="05C0B6B2" w14:textId="77777777" w:rsidR="00F348A6" w:rsidRDefault="00F348A6" w:rsidP="00F348A6">
      <w:pPr>
        <w:pStyle w:val="ListParagraph"/>
        <w:numPr>
          <w:ilvl w:val="0"/>
          <w:numId w:val="22"/>
        </w:numPr>
        <w:jc w:val="both"/>
      </w:pPr>
      <w:r>
        <w:t>The Director of Estates (where the commemoration impacts the estate)</w:t>
      </w:r>
    </w:p>
    <w:p w14:paraId="0FD3C9DA" w14:textId="74C05C76" w:rsidR="00F348A6" w:rsidRPr="00111E54" w:rsidRDefault="00F348A6" w:rsidP="00E341A8">
      <w:pPr>
        <w:pStyle w:val="ListParagraph"/>
        <w:numPr>
          <w:ilvl w:val="0"/>
          <w:numId w:val="22"/>
        </w:numPr>
        <w:jc w:val="both"/>
      </w:pPr>
      <w:r>
        <w:t xml:space="preserve">Other individuals nominated by the University Historian and Head of Heritage and Director of the Office of the President </w:t>
      </w:r>
    </w:p>
    <w:p w14:paraId="1D6AB268" w14:textId="5A398767" w:rsidR="00FB2209" w:rsidRDefault="001312AF" w:rsidP="004E6D80">
      <w:pPr>
        <w:pStyle w:val="Heading2"/>
        <w:jc w:val="both"/>
      </w:pPr>
      <w:r>
        <w:t>4</w:t>
      </w:r>
      <w:r w:rsidR="00AE4BF8">
        <w:t xml:space="preserve">. </w:t>
      </w:r>
      <w:r w:rsidR="00FD0331">
        <w:t xml:space="preserve">Application </w:t>
      </w:r>
      <w:r w:rsidR="00CB290D">
        <w:t>and assessment process</w:t>
      </w:r>
    </w:p>
    <w:p w14:paraId="214AEFF6" w14:textId="77777777" w:rsidR="00960C26" w:rsidRDefault="00960C26" w:rsidP="005C71A5">
      <w:r>
        <w:t xml:space="preserve">Applications for </w:t>
      </w:r>
      <w:r w:rsidR="004C0A18">
        <w:t xml:space="preserve">commemoration by the University </w:t>
      </w:r>
      <w:r w:rsidR="006F1256">
        <w:t xml:space="preserve">must be made using the form in </w:t>
      </w:r>
      <w:r w:rsidR="00CB290D">
        <w:t>A</w:t>
      </w:r>
      <w:r w:rsidR="006F1256">
        <w:t xml:space="preserve">ppendix 1. </w:t>
      </w:r>
    </w:p>
    <w:p w14:paraId="52E48257" w14:textId="77777777" w:rsidR="00480E64" w:rsidRDefault="00480E64" w:rsidP="005C71A5"/>
    <w:p w14:paraId="23691282" w14:textId="77777777" w:rsidR="00CB290D" w:rsidRDefault="00CB290D" w:rsidP="005C71A5">
      <w:r>
        <w:t xml:space="preserve">Applicants are encouraged to contact the University Historian and Head of Heritage before applying </w:t>
      </w:r>
      <w:r w:rsidR="002A7630">
        <w:t xml:space="preserve">to seek advice or clarification they might need in connection with their application. </w:t>
      </w:r>
    </w:p>
    <w:p w14:paraId="10F7C2F8" w14:textId="77777777" w:rsidR="00CB290D" w:rsidRDefault="00CB290D" w:rsidP="005C71A5"/>
    <w:p w14:paraId="0BFF7159" w14:textId="10BBCF41" w:rsidR="00653236" w:rsidRDefault="00DD586B" w:rsidP="005C71A5">
      <w:pPr>
        <w:jc w:val="both"/>
      </w:pPr>
      <w:r w:rsidRPr="00CB290D">
        <w:t xml:space="preserve">Applicants </w:t>
      </w:r>
      <w:r w:rsidR="00CB290D" w:rsidRPr="00CB290D">
        <w:t xml:space="preserve">should </w:t>
      </w:r>
      <w:r w:rsidR="006A6972" w:rsidRPr="00CB290D">
        <w:t xml:space="preserve">ensure that </w:t>
      </w:r>
      <w:r w:rsidR="00414EA6" w:rsidRPr="00CB290D">
        <w:t xml:space="preserve">their </w:t>
      </w:r>
      <w:r w:rsidR="002A7630">
        <w:t>completed</w:t>
      </w:r>
      <w:r w:rsidR="00CB290D" w:rsidRPr="00CB290D">
        <w:t xml:space="preserve"> application form </w:t>
      </w:r>
      <w:r w:rsidR="006A6972" w:rsidRPr="00CB290D">
        <w:t>responds to the appropriate considerations in each category</w:t>
      </w:r>
      <w:r w:rsidR="00414EA6" w:rsidRPr="00CB290D">
        <w:t xml:space="preserve"> </w:t>
      </w:r>
      <w:r w:rsidR="00A53588">
        <w:t xml:space="preserve">set out in section 4 of the Commemorations </w:t>
      </w:r>
      <w:r w:rsidR="00A53588">
        <w:lastRenderedPageBreak/>
        <w:t xml:space="preserve">Policy </w:t>
      </w:r>
      <w:r w:rsidR="00CB290D" w:rsidRPr="00CB290D">
        <w:t>and provide</w:t>
      </w:r>
      <w:r w:rsidR="002A7630">
        <w:t>s</w:t>
      </w:r>
      <w:r w:rsidR="00CB290D" w:rsidRPr="00CB290D">
        <w:t xml:space="preserve"> any relevant evidence in support of their application</w:t>
      </w:r>
      <w:r w:rsidR="006A6972" w:rsidRPr="00CB290D">
        <w:t xml:space="preserve">. </w:t>
      </w:r>
      <w:r w:rsidR="00136AFD" w:rsidRPr="00CB290D">
        <w:t xml:space="preserve">It is the responsibility of applicants to make </w:t>
      </w:r>
      <w:r w:rsidR="0064578B" w:rsidRPr="00CB290D">
        <w:t xml:space="preserve">a researched and justified </w:t>
      </w:r>
      <w:r w:rsidR="00136AFD" w:rsidRPr="00CB290D">
        <w:t>case for commemoration. Applicants should not expect the University to research their</w:t>
      </w:r>
      <w:r w:rsidR="0064578B" w:rsidRPr="00CB290D">
        <w:t xml:space="preserve"> </w:t>
      </w:r>
      <w:r w:rsidR="00136AFD" w:rsidRPr="00CB290D">
        <w:t>propos</w:t>
      </w:r>
      <w:r w:rsidR="0064578B" w:rsidRPr="00CB290D">
        <w:t>ed subject in order to consider the application</w:t>
      </w:r>
      <w:r w:rsidR="00136AFD" w:rsidRPr="00CB290D">
        <w:t xml:space="preserve">. </w:t>
      </w:r>
    </w:p>
    <w:p w14:paraId="61AC2139" w14:textId="77777777" w:rsidR="0022489C" w:rsidRDefault="0022489C" w:rsidP="004E6D80">
      <w:pPr>
        <w:jc w:val="both"/>
      </w:pPr>
    </w:p>
    <w:p w14:paraId="238362E6" w14:textId="08FC19AD" w:rsidR="0022489C" w:rsidRDefault="0022489C" w:rsidP="005C71A5">
      <w:pPr>
        <w:jc w:val="both"/>
      </w:pPr>
      <w:r>
        <w:t xml:space="preserve">Applicants should </w:t>
      </w:r>
      <w:r w:rsidR="00564F29">
        <w:t xml:space="preserve">identify their preferred form of </w:t>
      </w:r>
      <w:r>
        <w:t xml:space="preserve">commemoration </w:t>
      </w:r>
      <w:r w:rsidR="00564F29">
        <w:t xml:space="preserve">and explain why they consider that </w:t>
      </w:r>
      <w:r>
        <w:t xml:space="preserve">to be the most appropriate means of </w:t>
      </w:r>
      <w:r w:rsidR="00564F29">
        <w:t>commemorating</w:t>
      </w:r>
      <w:r>
        <w:t xml:space="preserve"> the subject. </w:t>
      </w:r>
      <w:r w:rsidR="0074500A">
        <w:t xml:space="preserve">The University retains absolute discretion when determining the appropriate form </w:t>
      </w:r>
      <w:r w:rsidR="00B254B1">
        <w:t xml:space="preserve">of commemoration </w:t>
      </w:r>
      <w:r w:rsidR="0074500A">
        <w:t xml:space="preserve">for successful applications (see section </w:t>
      </w:r>
      <w:r w:rsidR="00824397">
        <w:t>5</w:t>
      </w:r>
      <w:r w:rsidR="0074500A">
        <w:t xml:space="preserve"> below).  </w:t>
      </w:r>
      <w:r w:rsidR="002A7630">
        <w:t>Applicants should be aware that a physical marker might not always be appropriate or the best way to commemorate a person, event or idea.</w:t>
      </w:r>
    </w:p>
    <w:p w14:paraId="0275C735" w14:textId="77777777" w:rsidR="00564F29" w:rsidRDefault="00564F29" w:rsidP="00CB290D">
      <w:pPr>
        <w:jc w:val="both"/>
      </w:pPr>
    </w:p>
    <w:p w14:paraId="7B67F1D3" w14:textId="1DF83BDE" w:rsidR="00CB290D" w:rsidRPr="00CB290D" w:rsidRDefault="004436B2" w:rsidP="00CB290D">
      <w:pPr>
        <w:jc w:val="both"/>
      </w:pPr>
      <w:r w:rsidRPr="00CB290D">
        <w:t xml:space="preserve">Applications will be </w:t>
      </w:r>
      <w:r w:rsidR="007761A9" w:rsidRPr="00CB290D">
        <w:t xml:space="preserve">considered through the </w:t>
      </w:r>
      <w:r w:rsidRPr="00CB290D">
        <w:t>process below</w:t>
      </w:r>
      <w:r w:rsidR="007761A9" w:rsidRPr="00CB290D">
        <w:t xml:space="preserve"> using the</w:t>
      </w:r>
      <w:r w:rsidR="00B15A1C" w:rsidRPr="00CB290D">
        <w:t xml:space="preserve"> assessment guidelines </w:t>
      </w:r>
      <w:r w:rsidR="00CB290D" w:rsidRPr="00CB290D">
        <w:t xml:space="preserve">outlined </w:t>
      </w:r>
      <w:r w:rsidR="00CB5228">
        <w:t>in the University Commemoration Policy</w:t>
      </w:r>
      <w:r w:rsidRPr="00CB290D">
        <w:t xml:space="preserve">. </w:t>
      </w:r>
      <w:r w:rsidR="00CB290D" w:rsidRPr="00CB290D">
        <w:t xml:space="preserve">As part of its consideration of applications, the University may, depending on the circumstances, consult and/or seek representations from relevant stakeholders and experts. </w:t>
      </w:r>
    </w:p>
    <w:p w14:paraId="5DB526FC" w14:textId="77777777" w:rsidR="00CB290D" w:rsidRPr="00CB290D" w:rsidRDefault="00CB290D" w:rsidP="004E6D80">
      <w:pPr>
        <w:jc w:val="both"/>
      </w:pPr>
    </w:p>
    <w:p w14:paraId="09A581B8" w14:textId="5B5940F6" w:rsidR="00B15A1C" w:rsidRDefault="00B254B1" w:rsidP="004E6D80">
      <w:pPr>
        <w:jc w:val="both"/>
      </w:pPr>
      <w:r>
        <w:t>A</w:t>
      </w:r>
      <w:r w:rsidR="005D5C33">
        <w:t xml:space="preserve">pplicants should be aware that the </w:t>
      </w:r>
      <w:r w:rsidR="00CB290D">
        <w:t xml:space="preserve">process </w:t>
      </w:r>
      <w:r>
        <w:t xml:space="preserve">for considering applications </w:t>
      </w:r>
      <w:r w:rsidR="00CB290D">
        <w:t xml:space="preserve">can take </w:t>
      </w:r>
      <w:r w:rsidR="005D5C33">
        <w:t>considerable time</w:t>
      </w:r>
      <w:r w:rsidR="00CB290D">
        <w:t xml:space="preserve"> (particularly where</w:t>
      </w:r>
      <w:r w:rsidR="002A7630">
        <w:t xml:space="preserve"> representations from </w:t>
      </w:r>
      <w:r w:rsidR="00CB290D">
        <w:t xml:space="preserve">stakeholders </w:t>
      </w:r>
      <w:r w:rsidR="002A7630">
        <w:t xml:space="preserve">or experts </w:t>
      </w:r>
      <w:r w:rsidR="00CB290D">
        <w:t>need to be sought)</w:t>
      </w:r>
      <w:r w:rsidR="005D5C33">
        <w:t>.</w:t>
      </w:r>
    </w:p>
    <w:p w14:paraId="2D6E2019" w14:textId="77777777" w:rsidR="00B15A1C" w:rsidRDefault="00B15A1C" w:rsidP="004E6D80">
      <w:pPr>
        <w:jc w:val="both"/>
      </w:pPr>
    </w:p>
    <w:p w14:paraId="74D23805" w14:textId="3F0E0AF9" w:rsidR="00CB290D" w:rsidRDefault="004436B2" w:rsidP="004E6D80">
      <w:pPr>
        <w:jc w:val="both"/>
      </w:pPr>
      <w:r>
        <w:t xml:space="preserve">Applications </w:t>
      </w:r>
      <w:r w:rsidR="00CB290D">
        <w:t xml:space="preserve">may </w:t>
      </w:r>
      <w:r>
        <w:t>be rejected at any stage.</w:t>
      </w:r>
      <w:r w:rsidR="00E26C47">
        <w:t xml:space="preserve"> </w:t>
      </w:r>
      <w:r>
        <w:t xml:space="preserve">Decisions are final and </w:t>
      </w:r>
      <w:r w:rsidR="00CB290D">
        <w:t>there is no right of appeal</w:t>
      </w:r>
      <w:r>
        <w:t xml:space="preserve">. </w:t>
      </w:r>
      <w:r w:rsidR="00CB290D">
        <w:t>Applicants will be informed of the outcome of their application</w:t>
      </w:r>
      <w:r w:rsidR="002A7630">
        <w:t xml:space="preserve">, </w:t>
      </w:r>
      <w:r w:rsidR="00CB290D">
        <w:t xml:space="preserve">but the University will not engage in further correspondence in relation to the decision or the reasons for it. </w:t>
      </w:r>
    </w:p>
    <w:p w14:paraId="3FBC08F5" w14:textId="77777777" w:rsidR="0022489C" w:rsidRDefault="0022489C" w:rsidP="004E6D80">
      <w:pPr>
        <w:jc w:val="both"/>
      </w:pPr>
    </w:p>
    <w:p w14:paraId="2BB083A2" w14:textId="77777777" w:rsidR="004436B2" w:rsidRDefault="004436B2" w:rsidP="004E6D80">
      <w:pPr>
        <w:jc w:val="both"/>
      </w:pPr>
      <w:r>
        <w:t xml:space="preserve">If an application is rejected, applicants </w:t>
      </w:r>
      <w:r w:rsidR="00CB290D">
        <w:t xml:space="preserve">are not entitled to submit a renewed application for the same subject matter </w:t>
      </w:r>
      <w:r w:rsidR="002A7630">
        <w:t>until</w:t>
      </w:r>
      <w:r w:rsidR="00CB290D">
        <w:t xml:space="preserve"> a period of five years since the date of their original application has lapsed.</w:t>
      </w:r>
      <w:r>
        <w:t xml:space="preserve"> </w:t>
      </w:r>
    </w:p>
    <w:p w14:paraId="2DB6B585" w14:textId="77777777" w:rsidR="00614669" w:rsidRDefault="00614669" w:rsidP="004E6D80">
      <w:pPr>
        <w:jc w:val="both"/>
      </w:pPr>
    </w:p>
    <w:p w14:paraId="555E76B9" w14:textId="4206E787" w:rsidR="00701EC5" w:rsidRPr="00701EC5" w:rsidRDefault="00701EC5" w:rsidP="004E6D80">
      <w:pPr>
        <w:jc w:val="both"/>
        <w:rPr>
          <w:b/>
        </w:rPr>
      </w:pPr>
      <w:r w:rsidRPr="00701EC5">
        <w:rPr>
          <w:b/>
        </w:rPr>
        <w:t xml:space="preserve">Stage </w:t>
      </w:r>
      <w:r w:rsidR="0051516A">
        <w:rPr>
          <w:b/>
        </w:rPr>
        <w:t>1</w:t>
      </w:r>
      <w:r w:rsidR="00B62D2E">
        <w:rPr>
          <w:b/>
        </w:rPr>
        <w:t xml:space="preserve"> – Initial Review </w:t>
      </w:r>
    </w:p>
    <w:p w14:paraId="23FD7505" w14:textId="77777777" w:rsidR="0022489C" w:rsidRDefault="0022489C" w:rsidP="004E6D80">
      <w:pPr>
        <w:jc w:val="both"/>
      </w:pPr>
    </w:p>
    <w:p w14:paraId="4D7F042D" w14:textId="633C81DC" w:rsidR="008A618D" w:rsidRDefault="008A618D" w:rsidP="008A618D">
      <w:pPr>
        <w:jc w:val="both"/>
      </w:pPr>
      <w:r>
        <w:t xml:space="preserve">An initial </w:t>
      </w:r>
      <w:r w:rsidR="007136D8">
        <w:t xml:space="preserve">review </w:t>
      </w:r>
      <w:r>
        <w:t xml:space="preserve">will be conducted by the University Historian and Head of Heritage to determine whether the application </w:t>
      </w:r>
      <w:r w:rsidR="007136D8">
        <w:t xml:space="preserve">falls within </w:t>
      </w:r>
      <w:r>
        <w:t>the scope of th</w:t>
      </w:r>
      <w:r w:rsidR="003E2FCA">
        <w:t>e University’s Commemoration</w:t>
      </w:r>
      <w:r>
        <w:t xml:space="preserve"> </w:t>
      </w:r>
      <w:r w:rsidR="003E2FCA">
        <w:t>P</w:t>
      </w:r>
      <w:r>
        <w:t xml:space="preserve">olicy </w:t>
      </w:r>
      <w:r w:rsidR="00932DBB">
        <w:t xml:space="preserve">(hereafter, referred to as ‘the policy’) </w:t>
      </w:r>
      <w:r w:rsidR="00B62D2E">
        <w:t>and whether the subject matter of the application has a direct connection with the University</w:t>
      </w:r>
      <w:r w:rsidR="00B45F5F">
        <w:t>.</w:t>
      </w:r>
      <w:r>
        <w:t xml:space="preserve"> If the University Historian and Head of Heritage determines that the application falls outside the scope of the </w:t>
      </w:r>
      <w:r w:rsidR="00932DBB">
        <w:t>p</w:t>
      </w:r>
      <w:r>
        <w:t>olicy</w:t>
      </w:r>
      <w:r w:rsidR="00B62D2E">
        <w:t xml:space="preserve"> and/or that the subject matter does not have a direct connection with the University (and no exceptional circumstances apply)</w:t>
      </w:r>
      <w:r>
        <w:t xml:space="preserve">, </w:t>
      </w:r>
      <w:r w:rsidR="0050720D">
        <w:t xml:space="preserve">the University Historian and Head of Heritage will </w:t>
      </w:r>
      <w:r w:rsidR="0088709A">
        <w:t xml:space="preserve">refer the application to the Chair of the University History and Heritage Strategy Group. If both the University Historian and Head of Heritage and Chair are in agreement, </w:t>
      </w:r>
      <w:r>
        <w:t xml:space="preserve">the application will be rejected and the applicant will be informed. </w:t>
      </w:r>
      <w:r w:rsidR="007136D8">
        <w:t xml:space="preserve">If the University Historian and Head of Heritage determines that the application falls within the scope of the </w:t>
      </w:r>
      <w:r w:rsidR="00946738">
        <w:t>p</w:t>
      </w:r>
      <w:r w:rsidR="007136D8">
        <w:t>olicy</w:t>
      </w:r>
      <w:r w:rsidR="00B62D2E">
        <w:t xml:space="preserve"> and the subject matter has a direct connection with the University</w:t>
      </w:r>
      <w:r w:rsidR="007136D8">
        <w:t xml:space="preserve">, the application will </w:t>
      </w:r>
      <w:r w:rsidR="00FC616D">
        <w:t xml:space="preserve">(subject to the paragraph below) </w:t>
      </w:r>
      <w:r w:rsidR="007136D8">
        <w:t xml:space="preserve">proceed to Stage 2.  </w:t>
      </w:r>
    </w:p>
    <w:p w14:paraId="1CD01781" w14:textId="77777777" w:rsidR="007136D8" w:rsidRDefault="007136D8" w:rsidP="008A618D">
      <w:pPr>
        <w:jc w:val="both"/>
      </w:pPr>
    </w:p>
    <w:p w14:paraId="76226B94" w14:textId="7E487F07" w:rsidR="00E26C47" w:rsidRDefault="007136D8" w:rsidP="00E26C47">
      <w:pPr>
        <w:jc w:val="both"/>
      </w:pPr>
      <w:r>
        <w:t>If, having completed the initial review, it appears to the University Historian and Head of Heritage that the application discloses a</w:t>
      </w:r>
      <w:r w:rsidR="00832DF7">
        <w:t xml:space="preserve">n exceptional </w:t>
      </w:r>
      <w:r>
        <w:t>case for commemoration</w:t>
      </w:r>
      <w:r w:rsidR="00832DF7">
        <w:t xml:space="preserve"> without any obvious issues which require further consideration</w:t>
      </w:r>
      <w:r>
        <w:t>, the University Historian and Head of Heritage</w:t>
      </w:r>
      <w:r w:rsidR="00FC616D">
        <w:t xml:space="preserve"> may, as an </w:t>
      </w:r>
      <w:r>
        <w:t xml:space="preserve">alternative to referring the application for further consideration under Stage 2, instead refer it for approval </w:t>
      </w:r>
      <w:r w:rsidR="00E26C47">
        <w:t xml:space="preserve">by the Chair of the University History and Heritage Strategy Group (who may approve the application through </w:t>
      </w:r>
      <w:r w:rsidR="00FC616D">
        <w:t>‘</w:t>
      </w:r>
      <w:r w:rsidR="00E26C47">
        <w:t>Chairs action</w:t>
      </w:r>
      <w:r w:rsidR="00FC616D">
        <w:t>’</w:t>
      </w:r>
      <w:r w:rsidR="00832DF7">
        <w:t xml:space="preserve"> or submit it for further consideration under Stage 2</w:t>
      </w:r>
      <w:r w:rsidR="00E26C47">
        <w:t>).</w:t>
      </w:r>
    </w:p>
    <w:p w14:paraId="2186040E" w14:textId="77777777" w:rsidR="007136D8" w:rsidRDefault="007136D8" w:rsidP="008A618D">
      <w:pPr>
        <w:jc w:val="both"/>
      </w:pPr>
    </w:p>
    <w:p w14:paraId="2D564728" w14:textId="77777777" w:rsidR="007136D8" w:rsidRPr="007136D8" w:rsidRDefault="007136D8" w:rsidP="008A618D">
      <w:pPr>
        <w:jc w:val="both"/>
        <w:rPr>
          <w:b/>
        </w:rPr>
      </w:pPr>
      <w:r w:rsidRPr="007136D8">
        <w:rPr>
          <w:b/>
        </w:rPr>
        <w:t>Stage 2</w:t>
      </w:r>
      <w:r w:rsidR="00B62D2E">
        <w:rPr>
          <w:b/>
        </w:rPr>
        <w:t xml:space="preserve"> – </w:t>
      </w:r>
      <w:r w:rsidR="00B254B1">
        <w:rPr>
          <w:b/>
        </w:rPr>
        <w:t xml:space="preserve">Consideration by </w:t>
      </w:r>
      <w:r w:rsidR="00B254B1" w:rsidRPr="00B254B1">
        <w:rPr>
          <w:b/>
        </w:rPr>
        <w:t>Commemorations Advisory Group</w:t>
      </w:r>
    </w:p>
    <w:p w14:paraId="61F49A9A" w14:textId="77777777" w:rsidR="008A618D" w:rsidRDefault="008A618D" w:rsidP="004E6D80">
      <w:pPr>
        <w:jc w:val="both"/>
      </w:pPr>
    </w:p>
    <w:p w14:paraId="7FDBF450" w14:textId="77777777" w:rsidR="007136D8" w:rsidRDefault="006F6BED" w:rsidP="007136D8">
      <w:pPr>
        <w:jc w:val="both"/>
      </w:pPr>
      <w:r>
        <w:lastRenderedPageBreak/>
        <w:t xml:space="preserve">The </w:t>
      </w:r>
      <w:r w:rsidR="009E1021">
        <w:t xml:space="preserve">Commemorations Advisory Group (CAG) </w:t>
      </w:r>
      <w:r>
        <w:t xml:space="preserve">will consider the merits of the application based on the </w:t>
      </w:r>
      <w:r w:rsidR="00D4418D">
        <w:t>assessment guidelines</w:t>
      </w:r>
      <w:r w:rsidR="007136D8">
        <w:t>.</w:t>
      </w:r>
      <w:r w:rsidR="00FF686A">
        <w:t xml:space="preserve"> </w:t>
      </w:r>
      <w:r w:rsidR="007136D8">
        <w:t>The Commemorative Advisory Group consists of:</w:t>
      </w:r>
    </w:p>
    <w:p w14:paraId="34389042" w14:textId="77777777" w:rsidR="007136D8" w:rsidRDefault="007136D8" w:rsidP="007136D8">
      <w:pPr>
        <w:pStyle w:val="ListParagraph"/>
        <w:ind w:left="720"/>
        <w:jc w:val="both"/>
      </w:pPr>
    </w:p>
    <w:p w14:paraId="7902FCBB" w14:textId="77777777" w:rsidR="007136D8" w:rsidRDefault="007136D8" w:rsidP="007136D8">
      <w:pPr>
        <w:pStyle w:val="ListParagraph"/>
        <w:numPr>
          <w:ilvl w:val="0"/>
          <w:numId w:val="3"/>
        </w:numPr>
        <w:jc w:val="both"/>
      </w:pPr>
      <w:r>
        <w:t>University Historian and Head of Heritage (chair)</w:t>
      </w:r>
    </w:p>
    <w:p w14:paraId="02A67A17" w14:textId="77777777" w:rsidR="007136D8" w:rsidRDefault="007136D8" w:rsidP="007136D8">
      <w:pPr>
        <w:pStyle w:val="ListParagraph"/>
        <w:numPr>
          <w:ilvl w:val="0"/>
          <w:numId w:val="3"/>
        </w:numPr>
        <w:jc w:val="both"/>
      </w:pPr>
      <w:r>
        <w:t>Director of Estates and Facilities or their nominated alternative</w:t>
      </w:r>
    </w:p>
    <w:p w14:paraId="47A6640D" w14:textId="77777777" w:rsidR="00B45F5F" w:rsidRDefault="00B45F5F" w:rsidP="007136D8">
      <w:pPr>
        <w:pStyle w:val="ListParagraph"/>
        <w:numPr>
          <w:ilvl w:val="0"/>
          <w:numId w:val="3"/>
        </w:numPr>
        <w:jc w:val="both"/>
      </w:pPr>
      <w:r>
        <w:t>Director of Development and Alumni Relations or their nominated alternative</w:t>
      </w:r>
    </w:p>
    <w:p w14:paraId="55591A32" w14:textId="77777777" w:rsidR="007136D8" w:rsidRDefault="007136D8" w:rsidP="007136D8">
      <w:pPr>
        <w:pStyle w:val="ListParagraph"/>
        <w:numPr>
          <w:ilvl w:val="0"/>
          <w:numId w:val="3"/>
        </w:numPr>
        <w:jc w:val="both"/>
      </w:pPr>
      <w:r>
        <w:t>Director of Marketing and Communication or their nominated alternative</w:t>
      </w:r>
    </w:p>
    <w:p w14:paraId="564EC7FB" w14:textId="77777777" w:rsidR="007136D8" w:rsidRDefault="007136D8" w:rsidP="007136D8">
      <w:pPr>
        <w:pStyle w:val="ListParagraph"/>
        <w:numPr>
          <w:ilvl w:val="0"/>
          <w:numId w:val="3"/>
        </w:numPr>
        <w:jc w:val="both"/>
      </w:pPr>
      <w:r>
        <w:t>A representative from the Office of the President and Vice-Chancellor</w:t>
      </w:r>
    </w:p>
    <w:p w14:paraId="275ABD87" w14:textId="77777777" w:rsidR="007136D8" w:rsidRDefault="007136D8" w:rsidP="007136D8">
      <w:pPr>
        <w:pStyle w:val="ListParagraph"/>
        <w:numPr>
          <w:ilvl w:val="0"/>
          <w:numId w:val="3"/>
        </w:numPr>
        <w:jc w:val="both"/>
      </w:pPr>
      <w:r>
        <w:t>A representative from an appropriate faculty or PS directorate, where appropriate.</w:t>
      </w:r>
    </w:p>
    <w:p w14:paraId="5F25B99C" w14:textId="77777777" w:rsidR="007136D8" w:rsidRDefault="007136D8" w:rsidP="004E6D80">
      <w:pPr>
        <w:jc w:val="both"/>
      </w:pPr>
    </w:p>
    <w:p w14:paraId="454E8025" w14:textId="77777777" w:rsidR="007136D8" w:rsidRDefault="003F0D17" w:rsidP="004E6D80">
      <w:pPr>
        <w:jc w:val="both"/>
      </w:pPr>
      <w:r>
        <w:t>T</w:t>
      </w:r>
      <w:r w:rsidR="006F6BED">
        <w:t xml:space="preserve">he </w:t>
      </w:r>
      <w:r w:rsidR="007136D8">
        <w:t xml:space="preserve">CAG </w:t>
      </w:r>
      <w:r w:rsidR="006F6BED">
        <w:t>may</w:t>
      </w:r>
      <w:r w:rsidR="007136D8">
        <w:t>:</w:t>
      </w:r>
    </w:p>
    <w:p w14:paraId="6F96E98C" w14:textId="77777777" w:rsidR="007136D8" w:rsidRDefault="007136D8" w:rsidP="004E6D80">
      <w:pPr>
        <w:jc w:val="both"/>
      </w:pPr>
    </w:p>
    <w:p w14:paraId="0B8AA576" w14:textId="40A8D9A3" w:rsidR="007136D8" w:rsidRDefault="00832DF7" w:rsidP="007136D8">
      <w:pPr>
        <w:pStyle w:val="ListParagraph"/>
        <w:numPr>
          <w:ilvl w:val="0"/>
          <w:numId w:val="25"/>
        </w:numPr>
        <w:jc w:val="both"/>
      </w:pPr>
      <w:r>
        <w:t>R</w:t>
      </w:r>
      <w:r w:rsidR="006F6BED">
        <w:t>eject the application if</w:t>
      </w:r>
      <w:r w:rsidR="007136D8">
        <w:t xml:space="preserve">, in its view having assessed the application against the guidelines, </w:t>
      </w:r>
      <w:r w:rsidR="006F6BED">
        <w:t xml:space="preserve">it does not </w:t>
      </w:r>
      <w:r w:rsidR="00D4418D">
        <w:t>merit commemoration</w:t>
      </w:r>
      <w:r w:rsidR="00FC616D">
        <w:t xml:space="preserve"> under th</w:t>
      </w:r>
      <w:r w:rsidR="00496454">
        <w:t>e</w:t>
      </w:r>
      <w:r w:rsidR="00FC616D">
        <w:t xml:space="preserve"> policy</w:t>
      </w:r>
      <w:r w:rsidR="007136D8">
        <w:t>;</w:t>
      </w:r>
      <w:r w:rsidR="00D4418D">
        <w:t xml:space="preserve"> </w:t>
      </w:r>
      <w:r w:rsidR="007136D8">
        <w:t>or</w:t>
      </w:r>
    </w:p>
    <w:p w14:paraId="60FA4E3F" w14:textId="4A03E587" w:rsidR="00701EC5" w:rsidRDefault="00822CD3" w:rsidP="007136D8">
      <w:pPr>
        <w:pStyle w:val="ListParagraph"/>
        <w:numPr>
          <w:ilvl w:val="0"/>
          <w:numId w:val="25"/>
        </w:numPr>
        <w:jc w:val="both"/>
      </w:pPr>
      <w:r>
        <w:t xml:space="preserve">Submit </w:t>
      </w:r>
      <w:r w:rsidR="007136D8">
        <w:t xml:space="preserve">the application </w:t>
      </w:r>
      <w:r>
        <w:t xml:space="preserve">(and any observations and/or recommendations which it chooses to make) to </w:t>
      </w:r>
      <w:r w:rsidR="007136D8">
        <w:t xml:space="preserve">the </w:t>
      </w:r>
      <w:r w:rsidR="006F6BED">
        <w:t>University History and Heritage Strategy Group</w:t>
      </w:r>
      <w:r w:rsidR="008B4879">
        <w:t xml:space="preserve"> (UHHSG)</w:t>
      </w:r>
      <w:r w:rsidR="007136D8">
        <w:t xml:space="preserve"> </w:t>
      </w:r>
      <w:r>
        <w:t>for approval and (if approved by the UHHSG) to the Planning and Resources Committee (PRC) for final approval.</w:t>
      </w:r>
      <w:r w:rsidR="008B4879">
        <w:t xml:space="preserve"> </w:t>
      </w:r>
    </w:p>
    <w:p w14:paraId="7D98B16E" w14:textId="77777777" w:rsidR="003316D6" w:rsidRDefault="003316D6" w:rsidP="004E6D80">
      <w:pPr>
        <w:jc w:val="both"/>
      </w:pPr>
    </w:p>
    <w:p w14:paraId="65DBD467" w14:textId="35ACD366" w:rsidR="00701EC5" w:rsidRDefault="00701EC5" w:rsidP="004E6D80">
      <w:pPr>
        <w:jc w:val="both"/>
        <w:rPr>
          <w:b/>
        </w:rPr>
      </w:pPr>
      <w:r w:rsidRPr="00701EC5">
        <w:rPr>
          <w:b/>
        </w:rPr>
        <w:t xml:space="preserve">Stage </w:t>
      </w:r>
      <w:r w:rsidR="007136D8">
        <w:rPr>
          <w:b/>
        </w:rPr>
        <w:t>3</w:t>
      </w:r>
      <w:r w:rsidR="00B62D2E">
        <w:rPr>
          <w:b/>
        </w:rPr>
        <w:t xml:space="preserve"> – Approval </w:t>
      </w:r>
    </w:p>
    <w:p w14:paraId="3D704E9B" w14:textId="77777777" w:rsidR="0022489C" w:rsidRPr="00701EC5" w:rsidRDefault="0022489C" w:rsidP="004E6D80">
      <w:pPr>
        <w:jc w:val="both"/>
        <w:rPr>
          <w:b/>
        </w:rPr>
      </w:pPr>
    </w:p>
    <w:p w14:paraId="18846C53" w14:textId="7DD9FCB3" w:rsidR="00FC616D" w:rsidRDefault="007136D8" w:rsidP="004E6D80">
      <w:pPr>
        <w:jc w:val="both"/>
      </w:pPr>
      <w:r>
        <w:t>The UHHSG</w:t>
      </w:r>
      <w:r w:rsidR="00822CD3">
        <w:t xml:space="preserve"> </w:t>
      </w:r>
      <w:r>
        <w:t xml:space="preserve">will consider the </w:t>
      </w:r>
      <w:r w:rsidR="00FB7C6A">
        <w:t xml:space="preserve">application </w:t>
      </w:r>
      <w:r w:rsidR="00E26C47">
        <w:t>together with any observations and/or recommendations made by the CAG</w:t>
      </w:r>
      <w:r w:rsidR="00C266D2">
        <w:t xml:space="preserve"> and may:</w:t>
      </w:r>
    </w:p>
    <w:p w14:paraId="68A81438" w14:textId="77777777" w:rsidR="00E26C47" w:rsidRDefault="00E26C47" w:rsidP="00E26C47">
      <w:pPr>
        <w:jc w:val="both"/>
      </w:pPr>
    </w:p>
    <w:p w14:paraId="131CA76D" w14:textId="2A27E1BA" w:rsidR="00E26C47" w:rsidRDefault="00FC616D" w:rsidP="004E6D80">
      <w:pPr>
        <w:pStyle w:val="ListParagraph"/>
        <w:numPr>
          <w:ilvl w:val="0"/>
          <w:numId w:val="25"/>
        </w:numPr>
        <w:jc w:val="both"/>
      </w:pPr>
      <w:r>
        <w:t>R</w:t>
      </w:r>
      <w:r w:rsidR="00E26C47">
        <w:t xml:space="preserve">eject the application </w:t>
      </w:r>
      <w:r w:rsidR="00C266D2">
        <w:t xml:space="preserve">on the basis that </w:t>
      </w:r>
      <w:r w:rsidR="00E26C47">
        <w:t>it does not merit commemoration</w:t>
      </w:r>
      <w:r>
        <w:t xml:space="preserve"> under th</w:t>
      </w:r>
      <w:r w:rsidR="00496454">
        <w:t>e</w:t>
      </w:r>
      <w:r>
        <w:t xml:space="preserve"> policy</w:t>
      </w:r>
      <w:r w:rsidR="00E26C47">
        <w:t>; or</w:t>
      </w:r>
    </w:p>
    <w:p w14:paraId="3D15FB9A" w14:textId="049D22FE" w:rsidR="00E26C47" w:rsidRDefault="00C266D2" w:rsidP="004E6D80">
      <w:pPr>
        <w:pStyle w:val="ListParagraph"/>
        <w:numPr>
          <w:ilvl w:val="0"/>
          <w:numId w:val="25"/>
        </w:numPr>
        <w:jc w:val="both"/>
      </w:pPr>
      <w:r>
        <w:t xml:space="preserve">Submit </w:t>
      </w:r>
      <w:r w:rsidR="00E26C47">
        <w:t xml:space="preserve">the application </w:t>
      </w:r>
      <w:r w:rsidR="00841450">
        <w:t xml:space="preserve">to the </w:t>
      </w:r>
      <w:r w:rsidR="0039675B">
        <w:t xml:space="preserve">Planning and Resources Committee </w:t>
      </w:r>
      <w:r w:rsidR="009E1021">
        <w:t>(PRC)</w:t>
      </w:r>
      <w:r w:rsidR="00841450">
        <w:t xml:space="preserve"> for </w:t>
      </w:r>
      <w:r>
        <w:t>final approval</w:t>
      </w:r>
      <w:r w:rsidR="008B4879">
        <w:t xml:space="preserve">. </w:t>
      </w:r>
    </w:p>
    <w:p w14:paraId="0F621332" w14:textId="77777777" w:rsidR="00E26C47" w:rsidRDefault="00E26C47" w:rsidP="004E6D80">
      <w:pPr>
        <w:jc w:val="both"/>
      </w:pPr>
    </w:p>
    <w:p w14:paraId="40872D3F" w14:textId="03C498FA" w:rsidR="00E26C47" w:rsidRDefault="00B254B1" w:rsidP="004E6D80">
      <w:pPr>
        <w:jc w:val="both"/>
      </w:pPr>
      <w:r>
        <w:t xml:space="preserve">Having considered an application referred by the </w:t>
      </w:r>
      <w:r w:rsidR="00D219D2">
        <w:t>UHHSG</w:t>
      </w:r>
      <w:r>
        <w:t>, t</w:t>
      </w:r>
      <w:r w:rsidR="009E1021">
        <w:t>he PRC may</w:t>
      </w:r>
      <w:r w:rsidR="00E26C47">
        <w:t>:</w:t>
      </w:r>
    </w:p>
    <w:p w14:paraId="1CDF99B0" w14:textId="77777777" w:rsidR="00FC616D" w:rsidRDefault="00FC616D" w:rsidP="004E6D80">
      <w:pPr>
        <w:jc w:val="both"/>
      </w:pPr>
    </w:p>
    <w:p w14:paraId="4917B992" w14:textId="2793C48F" w:rsidR="00FC616D" w:rsidRDefault="00FC616D" w:rsidP="00FC616D">
      <w:pPr>
        <w:pStyle w:val="ListParagraph"/>
        <w:numPr>
          <w:ilvl w:val="0"/>
          <w:numId w:val="25"/>
        </w:numPr>
        <w:jc w:val="both"/>
      </w:pPr>
      <w:r>
        <w:t>Reject the application on the basis that it does not merit commemoration under th</w:t>
      </w:r>
      <w:r w:rsidR="00496454">
        <w:t>e</w:t>
      </w:r>
      <w:r>
        <w:t xml:space="preserve"> policy;</w:t>
      </w:r>
    </w:p>
    <w:p w14:paraId="2E36FE91" w14:textId="41138907" w:rsidR="007807DE" w:rsidRDefault="00FC616D" w:rsidP="004E6D80">
      <w:pPr>
        <w:pStyle w:val="ListParagraph"/>
        <w:numPr>
          <w:ilvl w:val="0"/>
          <w:numId w:val="25"/>
        </w:numPr>
        <w:jc w:val="both"/>
      </w:pPr>
      <w:r>
        <w:t xml:space="preserve">Approve the application and refer the application to </w:t>
      </w:r>
      <w:r w:rsidR="007807DE">
        <w:t xml:space="preserve">the University Historian and Head of Heritage </w:t>
      </w:r>
      <w:r w:rsidR="00A67BE4">
        <w:t xml:space="preserve">to take forward </w:t>
      </w:r>
      <w:r>
        <w:t xml:space="preserve">to determine the appropriate form of commemoration </w:t>
      </w:r>
      <w:r w:rsidR="00A67BE4">
        <w:t>using the commemoration guidelines below.</w:t>
      </w:r>
      <w:r w:rsidR="00832DF7">
        <w:t xml:space="preserve"> In doing so, the PRC may (but is not required to) express its observations and/or recommendations in relation to the form of commemoration</w:t>
      </w:r>
      <w:r w:rsidR="00B254B1">
        <w:t>; or</w:t>
      </w:r>
    </w:p>
    <w:p w14:paraId="0ED0C311" w14:textId="77777777" w:rsidR="0074500A" w:rsidRDefault="0074500A" w:rsidP="004E6D80">
      <w:pPr>
        <w:pStyle w:val="ListParagraph"/>
        <w:numPr>
          <w:ilvl w:val="0"/>
          <w:numId w:val="25"/>
        </w:numPr>
        <w:jc w:val="both"/>
      </w:pPr>
      <w:r>
        <w:t xml:space="preserve">Direct that further steps are taken prior to a final decision being made by the PRC. </w:t>
      </w:r>
    </w:p>
    <w:p w14:paraId="79D8141A" w14:textId="77777777" w:rsidR="000D030C" w:rsidRDefault="000D030C" w:rsidP="004E6D80">
      <w:pPr>
        <w:jc w:val="both"/>
      </w:pPr>
    </w:p>
    <w:p w14:paraId="27A2B995" w14:textId="79A41AA8" w:rsidR="006C5573" w:rsidRDefault="0074500A" w:rsidP="00EF55F0">
      <w:pPr>
        <w:jc w:val="both"/>
      </w:pPr>
      <w:r>
        <w:t>The PRC may, depending on the circumstances, consult the Board of Governors where it considers that to be appropriate.</w:t>
      </w:r>
    </w:p>
    <w:p w14:paraId="28B65209" w14:textId="2F936703" w:rsidR="00EB1C12" w:rsidRDefault="000D4B85" w:rsidP="004E6D80">
      <w:pPr>
        <w:pStyle w:val="Heading2"/>
        <w:jc w:val="both"/>
      </w:pPr>
      <w:r>
        <w:t>5</w:t>
      </w:r>
      <w:r w:rsidR="00AE4BF8">
        <w:t xml:space="preserve">. </w:t>
      </w:r>
      <w:r w:rsidR="00AE125A">
        <w:t>Determining the appropriate form of commemoration</w:t>
      </w:r>
    </w:p>
    <w:p w14:paraId="7575F2FE" w14:textId="77777777" w:rsidR="00FC616D" w:rsidRDefault="00564F29" w:rsidP="00FC616D">
      <w:pPr>
        <w:jc w:val="both"/>
      </w:pPr>
      <w:r>
        <w:t xml:space="preserve">Where an application for commemoration is approved, the University will determine the most appropriate form of commemoration. </w:t>
      </w:r>
      <w:r w:rsidR="00FC616D">
        <w:t>This process will be discussed and agreed by:</w:t>
      </w:r>
    </w:p>
    <w:p w14:paraId="48F7DE4D" w14:textId="77777777" w:rsidR="00FC616D" w:rsidRDefault="00FC616D" w:rsidP="00FC616D">
      <w:pPr>
        <w:jc w:val="both"/>
      </w:pPr>
    </w:p>
    <w:p w14:paraId="68181CB1" w14:textId="77777777" w:rsidR="00FC616D" w:rsidRDefault="00FC616D" w:rsidP="00FC616D">
      <w:pPr>
        <w:pStyle w:val="ListParagraph"/>
        <w:numPr>
          <w:ilvl w:val="0"/>
          <w:numId w:val="22"/>
        </w:numPr>
        <w:jc w:val="both"/>
      </w:pPr>
      <w:r>
        <w:t>The University Historian and Head of Heritage</w:t>
      </w:r>
    </w:p>
    <w:p w14:paraId="0011A1A6" w14:textId="77777777" w:rsidR="00FC616D" w:rsidRDefault="00FC616D" w:rsidP="00FC616D">
      <w:pPr>
        <w:pStyle w:val="ListParagraph"/>
        <w:numPr>
          <w:ilvl w:val="0"/>
          <w:numId w:val="22"/>
        </w:numPr>
        <w:jc w:val="both"/>
      </w:pPr>
      <w:r>
        <w:t>The Director of the Office of the President</w:t>
      </w:r>
    </w:p>
    <w:p w14:paraId="3F730DA2" w14:textId="77777777" w:rsidR="00FC616D" w:rsidRDefault="00FC616D" w:rsidP="00FC616D">
      <w:pPr>
        <w:pStyle w:val="ListParagraph"/>
        <w:numPr>
          <w:ilvl w:val="0"/>
          <w:numId w:val="22"/>
        </w:numPr>
        <w:jc w:val="both"/>
      </w:pPr>
      <w:r>
        <w:t>The Director of Estates (where the commemoration impacts the estate)</w:t>
      </w:r>
    </w:p>
    <w:p w14:paraId="3BDEDFC3" w14:textId="77777777" w:rsidR="00FC616D" w:rsidRDefault="00FC616D" w:rsidP="00FC616D">
      <w:pPr>
        <w:pStyle w:val="ListParagraph"/>
        <w:numPr>
          <w:ilvl w:val="0"/>
          <w:numId w:val="22"/>
        </w:numPr>
        <w:jc w:val="both"/>
      </w:pPr>
      <w:r>
        <w:t xml:space="preserve">Individuals nominated by the University Historian and Head of Heritage and Director of the Office of the President </w:t>
      </w:r>
    </w:p>
    <w:p w14:paraId="703B1022" w14:textId="77777777" w:rsidR="00FC616D" w:rsidRDefault="00FC616D" w:rsidP="00564F29">
      <w:pPr>
        <w:jc w:val="both"/>
      </w:pPr>
    </w:p>
    <w:p w14:paraId="24E6CF74" w14:textId="77777777" w:rsidR="00564F29" w:rsidRDefault="00564F29" w:rsidP="00564F29">
      <w:pPr>
        <w:jc w:val="both"/>
      </w:pPr>
      <w:r>
        <w:lastRenderedPageBreak/>
        <w:t xml:space="preserve">In doing so, the University will consider any preference identified by the applicant including any reasons put forward for that preference. </w:t>
      </w:r>
      <w:r w:rsidR="00AE125A">
        <w:t xml:space="preserve">The University may, at this stage, seek further input from the applicant and, where appropriate, other stakeholders or experts, in relation to the form of commemoration. </w:t>
      </w:r>
    </w:p>
    <w:p w14:paraId="45B16C95" w14:textId="77777777" w:rsidR="00564F29" w:rsidRDefault="00564F29" w:rsidP="00564F29">
      <w:pPr>
        <w:jc w:val="both"/>
      </w:pPr>
    </w:p>
    <w:p w14:paraId="429F68FE" w14:textId="77777777" w:rsidR="00564F29" w:rsidRDefault="00B254B1" w:rsidP="00564F29">
      <w:pPr>
        <w:jc w:val="both"/>
      </w:pPr>
      <w:r>
        <w:t xml:space="preserve">The University retains absolute discretion when determining the appropriate form of commemoration for successful applications. </w:t>
      </w:r>
      <w:r w:rsidR="00564F29">
        <w:t xml:space="preserve">A list of indicative factors which are likely to be considered as part of </w:t>
      </w:r>
      <w:r w:rsidR="00AE125A">
        <w:t xml:space="preserve">the </w:t>
      </w:r>
      <w:r w:rsidR="00564F29">
        <w:t xml:space="preserve">process </w:t>
      </w:r>
      <w:r w:rsidR="00AE125A">
        <w:t xml:space="preserve">of determining the most appropriate form of commemoration </w:t>
      </w:r>
      <w:r w:rsidR="00564F29">
        <w:t>include</w:t>
      </w:r>
      <w:r w:rsidR="00C71097">
        <w:t xml:space="preserve">s, but is not limited to: </w:t>
      </w:r>
    </w:p>
    <w:p w14:paraId="788BC272" w14:textId="77777777" w:rsidR="00564F29" w:rsidRDefault="00564F29" w:rsidP="00564F29">
      <w:pPr>
        <w:jc w:val="both"/>
      </w:pPr>
    </w:p>
    <w:p w14:paraId="24AF7804" w14:textId="79E722CA" w:rsidR="00564F29" w:rsidRDefault="00B343E6" w:rsidP="00E33305">
      <w:pPr>
        <w:pStyle w:val="ListParagraph"/>
        <w:numPr>
          <w:ilvl w:val="0"/>
          <w:numId w:val="22"/>
        </w:numPr>
        <w:jc w:val="both"/>
      </w:pPr>
      <w:r>
        <w:t>Ensuring that the subject matter is commemorated in the most appropriate</w:t>
      </w:r>
      <w:r w:rsidR="00E33305">
        <w:t xml:space="preserve"> and effective way (including by having regard to the need to ensure </w:t>
      </w:r>
      <w:r w:rsidR="00E54F62">
        <w:t>that the commemoration is of benefit to communities</w:t>
      </w:r>
      <w:r w:rsidR="00E33305">
        <w:t xml:space="preserve"> and </w:t>
      </w:r>
      <w:r w:rsidR="00054B86">
        <w:t>multiple audiences</w:t>
      </w:r>
      <w:r w:rsidR="00E33305">
        <w:t>)</w:t>
      </w:r>
      <w:r w:rsidR="00564F29">
        <w:t>.</w:t>
      </w:r>
    </w:p>
    <w:p w14:paraId="7A9BFACE" w14:textId="77777777" w:rsidR="00564F29" w:rsidRDefault="00F82D0E" w:rsidP="00564F29">
      <w:pPr>
        <w:pStyle w:val="ListParagraph"/>
        <w:numPr>
          <w:ilvl w:val="0"/>
          <w:numId w:val="22"/>
        </w:numPr>
        <w:jc w:val="both"/>
      </w:pPr>
      <w:r>
        <w:t>Estates matters, including the existence of appropriate buildings for fixed commemoration and suitability of physical markers for locations and buildings</w:t>
      </w:r>
      <w:r w:rsidR="00564F29">
        <w:t>.</w:t>
      </w:r>
    </w:p>
    <w:p w14:paraId="4CF1AA5F" w14:textId="77777777" w:rsidR="00B254B1" w:rsidRDefault="00B254B1" w:rsidP="00564F29">
      <w:pPr>
        <w:pStyle w:val="ListParagraph"/>
        <w:numPr>
          <w:ilvl w:val="0"/>
          <w:numId w:val="22"/>
        </w:numPr>
        <w:jc w:val="both"/>
      </w:pPr>
      <w:r>
        <w:t xml:space="preserve">Any adverse impact </w:t>
      </w:r>
      <w:r w:rsidR="00C415E4">
        <w:t xml:space="preserve">of the commemoration </w:t>
      </w:r>
      <w:r w:rsidR="00B343E6">
        <w:t xml:space="preserve">on individuals and </w:t>
      </w:r>
      <w:r>
        <w:t>buildings</w:t>
      </w:r>
      <w:r w:rsidR="00B343E6">
        <w:t>.</w:t>
      </w:r>
      <w:r>
        <w:t xml:space="preserve"> </w:t>
      </w:r>
    </w:p>
    <w:p w14:paraId="6E21C9F6" w14:textId="77777777" w:rsidR="00B254B1" w:rsidRDefault="00B254B1" w:rsidP="00564F29">
      <w:pPr>
        <w:pStyle w:val="ListParagraph"/>
        <w:numPr>
          <w:ilvl w:val="0"/>
          <w:numId w:val="22"/>
        </w:numPr>
        <w:jc w:val="both"/>
      </w:pPr>
      <w:r>
        <w:t xml:space="preserve">Any initial and ongoing </w:t>
      </w:r>
      <w:r w:rsidR="00B343E6">
        <w:t xml:space="preserve">time and </w:t>
      </w:r>
      <w:r>
        <w:t>costs</w:t>
      </w:r>
      <w:r w:rsidR="00B343E6">
        <w:t xml:space="preserve"> associated with the commemoration</w:t>
      </w:r>
      <w:r>
        <w:t xml:space="preserve"> (including installation and maintenance).</w:t>
      </w:r>
    </w:p>
    <w:p w14:paraId="214DDF33" w14:textId="77777777" w:rsidR="00564F29" w:rsidRDefault="00B254B1" w:rsidP="00564F29">
      <w:pPr>
        <w:pStyle w:val="ListParagraph"/>
        <w:numPr>
          <w:ilvl w:val="0"/>
          <w:numId w:val="22"/>
        </w:numPr>
        <w:jc w:val="both"/>
      </w:pPr>
      <w:r>
        <w:t>The availability and cost of insurance cover</w:t>
      </w:r>
      <w:r w:rsidR="00564F29">
        <w:t>.</w:t>
      </w:r>
    </w:p>
    <w:p w14:paraId="7ED45E2A" w14:textId="77777777" w:rsidR="004C0A18" w:rsidRDefault="004C0A18" w:rsidP="004C0A18">
      <w:pPr>
        <w:jc w:val="both"/>
      </w:pPr>
    </w:p>
    <w:p w14:paraId="2C593F6F" w14:textId="688D08DA" w:rsidR="00A4018B" w:rsidRDefault="004C0A18" w:rsidP="004E6D80">
      <w:pPr>
        <w:jc w:val="both"/>
      </w:pPr>
      <w:r>
        <w:t>Many forms of commemoration entail large amounts of planning and resource and applicants should be aware that there is often a significant period of time required between approval and the commemoration.</w:t>
      </w:r>
    </w:p>
    <w:p w14:paraId="1ECBF142" w14:textId="03102E58" w:rsidR="004E6D80" w:rsidRPr="00C92FF2" w:rsidRDefault="009B2A0F" w:rsidP="00C92FF2">
      <w:pPr>
        <w:pStyle w:val="Heading2"/>
      </w:pPr>
      <w:r>
        <w:t>6</w:t>
      </w:r>
      <w:r w:rsidR="000E1904">
        <w:t>.</w:t>
      </w:r>
      <w:r w:rsidR="00E54CB4">
        <w:t xml:space="preserve"> </w:t>
      </w:r>
      <w:r w:rsidR="004508EC" w:rsidRPr="004508EC">
        <w:t>Commemorations not commissioned by the University</w:t>
      </w:r>
    </w:p>
    <w:p w14:paraId="10F33C5C" w14:textId="566F1541" w:rsidR="008D5B9D" w:rsidRDefault="008D5B9D" w:rsidP="004E6D80">
      <w:pPr>
        <w:jc w:val="both"/>
      </w:pPr>
      <w:r>
        <w:t xml:space="preserve">Where an application </w:t>
      </w:r>
      <w:r w:rsidR="003049D7">
        <w:t xml:space="preserve">has been approved for a commemoration to be sited on the University’s estate which has not </w:t>
      </w:r>
      <w:r>
        <w:t xml:space="preserve">been commissioned by the University, </w:t>
      </w:r>
      <w:r w:rsidR="00564F29">
        <w:t>a</w:t>
      </w:r>
      <w:r>
        <w:t xml:space="preserve"> </w:t>
      </w:r>
      <w:r w:rsidR="00D70378">
        <w:t xml:space="preserve">post-approval </w:t>
      </w:r>
      <w:r>
        <w:t xml:space="preserve">assessment will be made of the </w:t>
      </w:r>
      <w:r w:rsidR="00D70378">
        <w:t xml:space="preserve">commemoration to ensure that it is as anticipated and would not </w:t>
      </w:r>
      <w:r w:rsidR="00CF7C02">
        <w:t xml:space="preserve">be to the </w:t>
      </w:r>
      <w:r w:rsidR="00D70378">
        <w:t xml:space="preserve">detriment </w:t>
      </w:r>
      <w:r w:rsidR="00E111A6">
        <w:t xml:space="preserve">of </w:t>
      </w:r>
      <w:r w:rsidR="00564F29">
        <w:t xml:space="preserve">the </w:t>
      </w:r>
      <w:r w:rsidR="003049D7">
        <w:t xml:space="preserve">University’s estate. </w:t>
      </w:r>
      <w:r>
        <w:t xml:space="preserve">The University reserves the right to reject </w:t>
      </w:r>
      <w:r w:rsidR="003049D7">
        <w:t xml:space="preserve">a commemoration and revoke the approval of the </w:t>
      </w:r>
      <w:r w:rsidR="00D70378">
        <w:t>commemoration</w:t>
      </w:r>
      <w:r w:rsidR="003049D7">
        <w:t xml:space="preserve"> if it </w:t>
      </w:r>
      <w:r w:rsidR="00D70378">
        <w:t xml:space="preserve">is not as anticipated or </w:t>
      </w:r>
      <w:r w:rsidR="00C47938">
        <w:t>other concerns exist.</w:t>
      </w:r>
      <w:r w:rsidRPr="00641B36">
        <w:t xml:space="preserve"> </w:t>
      </w:r>
    </w:p>
    <w:p w14:paraId="5E5F3E8E" w14:textId="77777777" w:rsidR="008D5B9D" w:rsidRDefault="008D5B9D" w:rsidP="004E6D80">
      <w:pPr>
        <w:jc w:val="both"/>
      </w:pPr>
    </w:p>
    <w:p w14:paraId="06EFC314" w14:textId="77777777" w:rsidR="003C005B" w:rsidRDefault="006D7343" w:rsidP="004E6D80">
      <w:pPr>
        <w:jc w:val="both"/>
      </w:pPr>
      <w:r>
        <w:t xml:space="preserve">Physical commemorations placed on the University’s estate must be donated to the University and will be the property of the University. </w:t>
      </w:r>
    </w:p>
    <w:p w14:paraId="371B828D" w14:textId="7703FA89" w:rsidR="008110E6" w:rsidRDefault="009B2A0F" w:rsidP="004E6D80">
      <w:pPr>
        <w:pStyle w:val="Heading2"/>
        <w:jc w:val="both"/>
      </w:pPr>
      <w:r>
        <w:t>7</w:t>
      </w:r>
      <w:r w:rsidR="00AE4BF8">
        <w:t xml:space="preserve">. </w:t>
      </w:r>
      <w:r w:rsidR="008110E6">
        <w:t xml:space="preserve">Costs </w:t>
      </w:r>
    </w:p>
    <w:p w14:paraId="356C1C1D" w14:textId="6B4477D9" w:rsidR="008A6D39" w:rsidRPr="009450C0" w:rsidRDefault="009450C0" w:rsidP="004E6D80">
      <w:pPr>
        <w:jc w:val="both"/>
        <w:rPr>
          <w:szCs w:val="22"/>
        </w:rPr>
      </w:pPr>
      <w:r w:rsidRPr="009450C0">
        <w:rPr>
          <w:rFonts w:cs="Arial"/>
          <w:szCs w:val="22"/>
        </w:rPr>
        <w:t xml:space="preserve">Applicants should be aware that any commemoration resulting from their application may require funding. Applicants are advised to contact the University History and Heritage Office to discuss their ideas in advance of </w:t>
      </w:r>
      <w:proofErr w:type="gramStart"/>
      <w:r w:rsidRPr="009450C0">
        <w:rPr>
          <w:rFonts w:cs="Arial"/>
          <w:szCs w:val="22"/>
        </w:rPr>
        <w:t>submitting an application</w:t>
      </w:r>
      <w:proofErr w:type="gramEnd"/>
      <w:r>
        <w:rPr>
          <w:rFonts w:cs="Arial"/>
          <w:szCs w:val="22"/>
        </w:rPr>
        <w:t>.</w:t>
      </w:r>
    </w:p>
    <w:p w14:paraId="0F7F438E" w14:textId="77777777" w:rsidR="008A6D39" w:rsidRDefault="008A6D39"/>
    <w:p w14:paraId="204F48D9" w14:textId="77777777" w:rsidR="00047D0D" w:rsidRDefault="00047D0D"/>
    <w:tbl>
      <w:tblPr>
        <w:tblW w:w="8865" w:type="dxa"/>
        <w:tblCellMar>
          <w:left w:w="0" w:type="dxa"/>
          <w:right w:w="0" w:type="dxa"/>
        </w:tblCellMar>
        <w:tblLook w:val="04A0" w:firstRow="1" w:lastRow="0" w:firstColumn="1" w:lastColumn="0" w:noHBand="0" w:noVBand="1"/>
      </w:tblPr>
      <w:tblGrid>
        <w:gridCol w:w="1101"/>
        <w:gridCol w:w="1560"/>
        <w:gridCol w:w="6204"/>
      </w:tblGrid>
      <w:tr w:rsidR="0065016D" w:rsidRPr="005D1D79" w14:paraId="51CCEAE2" w14:textId="77777777" w:rsidTr="00F13896">
        <w:trPr>
          <w:trHeight w:val="127"/>
        </w:trPr>
        <w:tc>
          <w:tcPr>
            <w:tcW w:w="8861" w:type="dxa"/>
            <w:gridSpan w:val="3"/>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CAA7165" w14:textId="77777777" w:rsidR="0065016D" w:rsidRPr="005D1D79" w:rsidRDefault="0065016D" w:rsidP="00F13896">
            <w:pPr>
              <w:rPr>
                <w:rFonts w:eastAsia="Times New Roman" w:cs="Arial"/>
                <w:color w:val="000000"/>
              </w:rPr>
            </w:pPr>
            <w:r w:rsidRPr="005D1D79">
              <w:rPr>
                <w:rFonts w:eastAsia="Times New Roman" w:cs="Arial"/>
                <w:b/>
                <w:bCs/>
              </w:rPr>
              <w:t>Version amendment history</w:t>
            </w:r>
          </w:p>
        </w:tc>
      </w:tr>
      <w:tr w:rsidR="0065016D" w:rsidRPr="005D1D79" w14:paraId="0596B8D0" w14:textId="77777777" w:rsidTr="00F13896">
        <w:trPr>
          <w:trHeight w:val="127"/>
        </w:trPr>
        <w:tc>
          <w:tcPr>
            <w:tcW w:w="110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D5BCCF9" w14:textId="77777777" w:rsidR="0065016D" w:rsidRPr="005D1D79" w:rsidRDefault="0065016D" w:rsidP="00F13896">
            <w:pPr>
              <w:rPr>
                <w:rFonts w:eastAsia="Times New Roman" w:cs="Arial"/>
                <w:color w:val="000000"/>
              </w:rPr>
            </w:pPr>
            <w:r w:rsidRPr="005D1D79">
              <w:rPr>
                <w:rFonts w:eastAsia="Times New Roman" w:cs="Arial"/>
              </w:rPr>
              <w:t>Version</w:t>
            </w:r>
          </w:p>
        </w:tc>
        <w:tc>
          <w:tcPr>
            <w:tcW w:w="155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05D34361" w14:textId="77777777" w:rsidR="0065016D" w:rsidRPr="005D1D79" w:rsidRDefault="0065016D" w:rsidP="00F13896">
            <w:pPr>
              <w:rPr>
                <w:rFonts w:eastAsia="Times New Roman" w:cs="Arial"/>
                <w:color w:val="000000"/>
              </w:rPr>
            </w:pPr>
            <w:r w:rsidRPr="005D1D79">
              <w:rPr>
                <w:rFonts w:eastAsia="Times New Roman" w:cs="Arial"/>
              </w:rPr>
              <w:t>Date</w:t>
            </w:r>
          </w:p>
        </w:tc>
        <w:tc>
          <w:tcPr>
            <w:tcW w:w="620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14CC8854" w14:textId="77777777" w:rsidR="0065016D" w:rsidRPr="005D1D79" w:rsidRDefault="0065016D" w:rsidP="00F13896">
            <w:pPr>
              <w:rPr>
                <w:rFonts w:eastAsia="Times New Roman" w:cs="Arial"/>
                <w:color w:val="000000"/>
              </w:rPr>
            </w:pPr>
            <w:r w:rsidRPr="005D1D79">
              <w:rPr>
                <w:rFonts w:eastAsia="Times New Roman" w:cs="Arial"/>
              </w:rPr>
              <w:t>Reason for change</w:t>
            </w:r>
          </w:p>
        </w:tc>
      </w:tr>
      <w:tr w:rsidR="0065016D" w:rsidRPr="005D1D79" w14:paraId="3BE576A6" w14:textId="77777777" w:rsidTr="00F13896">
        <w:trPr>
          <w:trHeight w:val="126"/>
        </w:trPr>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3CC32E" w14:textId="77777777" w:rsidR="0065016D" w:rsidRPr="005D1D79" w:rsidRDefault="0065016D" w:rsidP="00F13896">
            <w:pPr>
              <w:rPr>
                <w:rFonts w:eastAsia="Times New Roman" w:cs="Arial"/>
                <w:color w:val="000000"/>
              </w:rPr>
            </w:pPr>
            <w:r w:rsidRPr="005D1D79">
              <w:rPr>
                <w:rFonts w:eastAsia="Times New Roman" w:cs="Arial"/>
                <w:color w:val="000000"/>
              </w:rPr>
              <w:t> 1.0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018775A" w14:textId="78863490" w:rsidR="0065016D" w:rsidRPr="005D1D79" w:rsidRDefault="00B866EA" w:rsidP="00F13896">
            <w:pPr>
              <w:rPr>
                <w:rFonts w:eastAsia="Times New Roman" w:cs="Arial"/>
                <w:color w:val="000000"/>
              </w:rPr>
            </w:pPr>
            <w:r>
              <w:rPr>
                <w:rFonts w:eastAsia="Times New Roman" w:cs="Arial"/>
                <w:color w:val="000000"/>
              </w:rPr>
              <w:t>July</w:t>
            </w:r>
            <w:bookmarkStart w:id="0" w:name="_GoBack"/>
            <w:bookmarkEnd w:id="0"/>
            <w:r w:rsidR="0009078B">
              <w:rPr>
                <w:rFonts w:eastAsia="Times New Roman" w:cs="Arial"/>
                <w:color w:val="000000"/>
              </w:rPr>
              <w:t xml:space="preserve"> 2019</w:t>
            </w:r>
          </w:p>
        </w:tc>
        <w:tc>
          <w:tcPr>
            <w:tcW w:w="6201" w:type="dxa"/>
            <w:tcBorders>
              <w:top w:val="nil"/>
              <w:left w:val="nil"/>
              <w:bottom w:val="single" w:sz="8" w:space="0" w:color="auto"/>
              <w:right w:val="single" w:sz="8" w:space="0" w:color="auto"/>
            </w:tcBorders>
            <w:tcMar>
              <w:top w:w="0" w:type="dxa"/>
              <w:left w:w="108" w:type="dxa"/>
              <w:bottom w:w="0" w:type="dxa"/>
              <w:right w:w="108" w:type="dxa"/>
            </w:tcMar>
            <w:hideMark/>
          </w:tcPr>
          <w:p w14:paraId="75A7A803" w14:textId="77777777" w:rsidR="0065016D" w:rsidRPr="005D1D79" w:rsidRDefault="005D1D79" w:rsidP="00F13896">
            <w:pPr>
              <w:rPr>
                <w:rFonts w:eastAsia="Times New Roman" w:cs="Arial"/>
                <w:color w:val="000000"/>
              </w:rPr>
            </w:pPr>
            <w:r w:rsidRPr="005D1D79">
              <w:rPr>
                <w:rFonts w:eastAsia="Times New Roman" w:cs="Arial"/>
                <w:color w:val="000000"/>
              </w:rPr>
              <w:t>Original document</w:t>
            </w:r>
          </w:p>
        </w:tc>
      </w:tr>
      <w:tr w:rsidR="0065016D" w:rsidRPr="005D1D79" w14:paraId="5A814B41" w14:textId="77777777" w:rsidTr="00F13896">
        <w:trPr>
          <w:trHeight w:val="126"/>
        </w:trPr>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058602" w14:textId="77777777" w:rsidR="0065016D" w:rsidRPr="005D1D79" w:rsidRDefault="0065016D" w:rsidP="00F13896">
            <w:pPr>
              <w:rPr>
                <w:rFonts w:eastAsia="Times New Roman" w:cs="Arial"/>
                <w:color w:val="000000"/>
              </w:rPr>
            </w:pPr>
            <w:r w:rsidRPr="005D1D79">
              <w:rPr>
                <w:rFonts w:eastAsia="Times New Roman" w:cs="Arial"/>
                <w:color w:val="000000"/>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7F2F46A" w14:textId="77777777" w:rsidR="0065016D" w:rsidRPr="005D1D79" w:rsidRDefault="0065016D" w:rsidP="00F13896">
            <w:pPr>
              <w:rPr>
                <w:rFonts w:eastAsia="Times New Roman" w:cs="Arial"/>
                <w:color w:val="000000"/>
              </w:rPr>
            </w:pPr>
            <w:r w:rsidRPr="005D1D79">
              <w:rPr>
                <w:rFonts w:eastAsia="Times New Roman" w:cs="Arial"/>
                <w:color w:val="000000"/>
              </w:rPr>
              <w:t> </w:t>
            </w:r>
          </w:p>
        </w:tc>
        <w:tc>
          <w:tcPr>
            <w:tcW w:w="6201" w:type="dxa"/>
            <w:tcBorders>
              <w:top w:val="nil"/>
              <w:left w:val="nil"/>
              <w:bottom w:val="single" w:sz="8" w:space="0" w:color="auto"/>
              <w:right w:val="single" w:sz="8" w:space="0" w:color="auto"/>
            </w:tcBorders>
            <w:tcMar>
              <w:top w:w="0" w:type="dxa"/>
              <w:left w:w="108" w:type="dxa"/>
              <w:bottom w:w="0" w:type="dxa"/>
              <w:right w:w="108" w:type="dxa"/>
            </w:tcMar>
            <w:hideMark/>
          </w:tcPr>
          <w:p w14:paraId="0E973963" w14:textId="77777777" w:rsidR="0065016D" w:rsidRPr="005D1D79" w:rsidRDefault="0065016D" w:rsidP="00F13896">
            <w:pPr>
              <w:rPr>
                <w:rFonts w:eastAsia="Times New Roman" w:cs="Arial"/>
                <w:color w:val="000000"/>
              </w:rPr>
            </w:pPr>
            <w:r w:rsidRPr="005D1D79">
              <w:rPr>
                <w:rFonts w:eastAsia="Times New Roman" w:cs="Arial"/>
                <w:color w:val="000000"/>
              </w:rPr>
              <w:t> </w:t>
            </w:r>
          </w:p>
        </w:tc>
      </w:tr>
      <w:tr w:rsidR="0065016D" w:rsidRPr="005D1D79" w14:paraId="10079C0E" w14:textId="77777777" w:rsidTr="00F13896">
        <w:trPr>
          <w:trHeight w:val="126"/>
        </w:trPr>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0D09C" w14:textId="77777777" w:rsidR="0065016D" w:rsidRPr="005D1D79" w:rsidRDefault="0065016D" w:rsidP="00F13896">
            <w:pPr>
              <w:rPr>
                <w:rFonts w:eastAsia="Times New Roman" w:cs="Arial"/>
                <w:color w:val="000000"/>
              </w:rPr>
            </w:pPr>
            <w:r w:rsidRPr="005D1D79">
              <w:rPr>
                <w:rFonts w:eastAsia="Times New Roman" w:cs="Arial"/>
                <w:color w:val="000000"/>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4BFBBE6" w14:textId="77777777" w:rsidR="0065016D" w:rsidRPr="005D1D79" w:rsidRDefault="0065016D" w:rsidP="00F13896">
            <w:pPr>
              <w:rPr>
                <w:rFonts w:eastAsia="Times New Roman" w:cs="Arial"/>
                <w:color w:val="000000"/>
              </w:rPr>
            </w:pPr>
            <w:r w:rsidRPr="005D1D79">
              <w:rPr>
                <w:rFonts w:eastAsia="Times New Roman" w:cs="Arial"/>
                <w:color w:val="000000"/>
              </w:rPr>
              <w:t> </w:t>
            </w:r>
          </w:p>
        </w:tc>
        <w:tc>
          <w:tcPr>
            <w:tcW w:w="6201" w:type="dxa"/>
            <w:tcBorders>
              <w:top w:val="nil"/>
              <w:left w:val="nil"/>
              <w:bottom w:val="single" w:sz="8" w:space="0" w:color="auto"/>
              <w:right w:val="single" w:sz="8" w:space="0" w:color="auto"/>
            </w:tcBorders>
            <w:tcMar>
              <w:top w:w="0" w:type="dxa"/>
              <w:left w:w="108" w:type="dxa"/>
              <w:bottom w:w="0" w:type="dxa"/>
              <w:right w:w="108" w:type="dxa"/>
            </w:tcMar>
            <w:hideMark/>
          </w:tcPr>
          <w:p w14:paraId="0A984E7C" w14:textId="77777777" w:rsidR="0065016D" w:rsidRPr="005D1D79" w:rsidRDefault="0065016D" w:rsidP="00F13896">
            <w:pPr>
              <w:rPr>
                <w:rFonts w:eastAsia="Times New Roman" w:cs="Arial"/>
                <w:color w:val="000000"/>
              </w:rPr>
            </w:pPr>
            <w:r w:rsidRPr="005D1D79">
              <w:rPr>
                <w:rFonts w:eastAsia="Times New Roman" w:cs="Arial"/>
                <w:color w:val="000000"/>
              </w:rPr>
              <w:t> </w:t>
            </w:r>
          </w:p>
        </w:tc>
      </w:tr>
    </w:tbl>
    <w:p w14:paraId="0EFA709F" w14:textId="77777777" w:rsidR="0065016D" w:rsidRPr="005D1D79" w:rsidRDefault="0065016D" w:rsidP="0065016D">
      <w:pPr>
        <w:rPr>
          <w:rFonts w:eastAsia="Times New Roman" w:cs="Arial"/>
        </w:rPr>
      </w:pPr>
      <w:r w:rsidRPr="005D1D79">
        <w:rPr>
          <w:rFonts w:eastAsia="Times New Roman" w:cs="Arial"/>
        </w:rPr>
        <w:t> </w:t>
      </w:r>
    </w:p>
    <w:p w14:paraId="38BF4BB2" w14:textId="77777777" w:rsidR="0065016D" w:rsidRPr="005D1D79" w:rsidRDefault="0065016D" w:rsidP="0065016D">
      <w:pPr>
        <w:rPr>
          <w:rFonts w:eastAsia="Times New Roman" w:cs="Arial"/>
        </w:rPr>
      </w:pPr>
      <w:r w:rsidRPr="005D1D79">
        <w:rPr>
          <w:rFonts w:eastAsia="Times New Roman" w:cs="Arial"/>
        </w:rPr>
        <w:t> </w:t>
      </w:r>
    </w:p>
    <w:tbl>
      <w:tblPr>
        <w:tblpPr w:leftFromText="180" w:rightFromText="180" w:vertAnchor="text"/>
        <w:tblW w:w="0" w:type="auto"/>
        <w:tblCellMar>
          <w:left w:w="0" w:type="dxa"/>
          <w:right w:w="0" w:type="dxa"/>
        </w:tblCellMar>
        <w:tblLook w:val="04A0" w:firstRow="1" w:lastRow="0" w:firstColumn="1" w:lastColumn="0" w:noHBand="0" w:noVBand="1"/>
      </w:tblPr>
      <w:tblGrid>
        <w:gridCol w:w="3511"/>
        <w:gridCol w:w="5017"/>
      </w:tblGrid>
      <w:tr w:rsidR="0065016D" w:rsidRPr="005D1D79" w14:paraId="1058E0EC" w14:textId="77777777" w:rsidTr="00F13896">
        <w:trPr>
          <w:trHeight w:val="156"/>
        </w:trPr>
        <w:tc>
          <w:tcPr>
            <w:tcW w:w="8528" w:type="dxa"/>
            <w:gridSpan w:val="2"/>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DC7AD87" w14:textId="77777777" w:rsidR="0065016D" w:rsidRPr="005D1D79" w:rsidRDefault="0065016D" w:rsidP="00F13896">
            <w:pPr>
              <w:rPr>
                <w:rFonts w:eastAsia="Times New Roman" w:cs="Arial"/>
              </w:rPr>
            </w:pPr>
            <w:r w:rsidRPr="005D1D79">
              <w:rPr>
                <w:rFonts w:eastAsia="Times New Roman" w:cs="Arial"/>
                <w:b/>
                <w:bCs/>
              </w:rPr>
              <w:t>Document control box</w:t>
            </w:r>
          </w:p>
        </w:tc>
      </w:tr>
      <w:tr w:rsidR="0065016D" w:rsidRPr="005D1D79" w14:paraId="10763DF0" w14:textId="77777777" w:rsidTr="00F13896">
        <w:trPr>
          <w:trHeight w:val="147"/>
        </w:trPr>
        <w:tc>
          <w:tcPr>
            <w:tcW w:w="35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B97F26" w14:textId="77777777" w:rsidR="0065016D" w:rsidRPr="005D1D79" w:rsidRDefault="0065016D" w:rsidP="00F13896">
            <w:pPr>
              <w:rPr>
                <w:rFonts w:eastAsia="Times New Roman" w:cs="Arial"/>
              </w:rPr>
            </w:pPr>
            <w:r w:rsidRPr="005D1D79">
              <w:rPr>
                <w:rFonts w:eastAsia="Times New Roman" w:cs="Arial"/>
              </w:rPr>
              <w:t>Policy / Procedure title:</w:t>
            </w:r>
          </w:p>
        </w:tc>
        <w:tc>
          <w:tcPr>
            <w:tcW w:w="50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4F9E3C" w14:textId="0F57406C" w:rsidR="0065016D" w:rsidRPr="005D1D79" w:rsidRDefault="0065016D" w:rsidP="00F13896">
            <w:pPr>
              <w:rPr>
                <w:rFonts w:eastAsia="Times New Roman" w:cs="Arial"/>
              </w:rPr>
            </w:pPr>
            <w:r w:rsidRPr="005D1D79">
              <w:rPr>
                <w:rFonts w:eastAsia="Times New Roman" w:cs="Arial"/>
              </w:rPr>
              <w:t> </w:t>
            </w:r>
            <w:r w:rsidRPr="005D1D79">
              <w:rPr>
                <w:rFonts w:eastAsia="Times New Roman" w:cs="Arial"/>
                <w:color w:val="000000"/>
              </w:rPr>
              <w:t>Commemorati</w:t>
            </w:r>
            <w:r w:rsidR="002D6BDD">
              <w:rPr>
                <w:rFonts w:eastAsia="Times New Roman" w:cs="Arial"/>
                <w:color w:val="000000"/>
              </w:rPr>
              <w:t>on</w:t>
            </w:r>
            <w:r w:rsidRPr="005D1D79">
              <w:rPr>
                <w:rFonts w:eastAsia="Times New Roman" w:cs="Arial"/>
                <w:color w:val="000000"/>
              </w:rPr>
              <w:t xml:space="preserve"> </w:t>
            </w:r>
            <w:r w:rsidR="00153ED2">
              <w:rPr>
                <w:rFonts w:eastAsia="Times New Roman" w:cs="Arial"/>
                <w:color w:val="000000"/>
              </w:rPr>
              <w:t>Procedure</w:t>
            </w:r>
          </w:p>
        </w:tc>
      </w:tr>
      <w:tr w:rsidR="0065016D" w:rsidRPr="005D1D79" w14:paraId="072E0899" w14:textId="77777777" w:rsidTr="00F13896">
        <w:trPr>
          <w:trHeight w:val="147"/>
        </w:trPr>
        <w:tc>
          <w:tcPr>
            <w:tcW w:w="35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32E75F" w14:textId="77777777" w:rsidR="0065016D" w:rsidRPr="005D1D79" w:rsidRDefault="0065016D" w:rsidP="00F13896">
            <w:pPr>
              <w:rPr>
                <w:rFonts w:eastAsia="Times New Roman" w:cs="Arial"/>
              </w:rPr>
            </w:pPr>
            <w:r w:rsidRPr="005D1D79">
              <w:rPr>
                <w:rFonts w:eastAsia="Times New Roman" w:cs="Arial"/>
              </w:rPr>
              <w:t>Lead contact email</w:t>
            </w:r>
          </w:p>
        </w:tc>
        <w:tc>
          <w:tcPr>
            <w:tcW w:w="50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E2F06A" w14:textId="77777777" w:rsidR="0065016D" w:rsidRPr="005D1D79" w:rsidRDefault="0065016D" w:rsidP="00F13896">
            <w:pPr>
              <w:rPr>
                <w:rFonts w:eastAsia="Times New Roman" w:cs="Arial"/>
              </w:rPr>
            </w:pPr>
            <w:r w:rsidRPr="005D1D79">
              <w:rPr>
                <w:rFonts w:eastAsia="Times New Roman" w:cs="Arial"/>
              </w:rPr>
              <w:t> </w:t>
            </w:r>
            <w:hyperlink r:id="rId8" w:history="1">
              <w:r w:rsidRPr="005D1D79">
                <w:rPr>
                  <w:rStyle w:val="Hyperlink"/>
                  <w:rFonts w:eastAsia="Times New Roman" w:cs="Arial"/>
                </w:rPr>
                <w:t>james.hopkins@manchester.ac.uk</w:t>
              </w:r>
            </w:hyperlink>
          </w:p>
        </w:tc>
      </w:tr>
      <w:tr w:rsidR="0065016D" w:rsidRPr="005D1D79" w14:paraId="2F757DC8" w14:textId="77777777" w:rsidTr="00F13896">
        <w:trPr>
          <w:trHeight w:val="156"/>
        </w:trPr>
        <w:tc>
          <w:tcPr>
            <w:tcW w:w="35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0C9340" w14:textId="77777777" w:rsidR="0065016D" w:rsidRPr="005D1D79" w:rsidRDefault="0065016D" w:rsidP="00F13896">
            <w:pPr>
              <w:rPr>
                <w:rFonts w:eastAsia="Times New Roman" w:cs="Arial"/>
              </w:rPr>
            </w:pPr>
            <w:r w:rsidRPr="005D1D79">
              <w:rPr>
                <w:rFonts w:eastAsia="Times New Roman" w:cs="Arial"/>
              </w:rPr>
              <w:t>Date updated:</w:t>
            </w:r>
          </w:p>
        </w:tc>
        <w:tc>
          <w:tcPr>
            <w:tcW w:w="5017" w:type="dxa"/>
            <w:tcBorders>
              <w:top w:val="nil"/>
              <w:left w:val="nil"/>
              <w:bottom w:val="single" w:sz="8" w:space="0" w:color="auto"/>
              <w:right w:val="single" w:sz="8" w:space="0" w:color="auto"/>
            </w:tcBorders>
            <w:tcMar>
              <w:top w:w="0" w:type="dxa"/>
              <w:left w:w="108" w:type="dxa"/>
              <w:bottom w:w="0" w:type="dxa"/>
              <w:right w:w="108" w:type="dxa"/>
            </w:tcMar>
            <w:hideMark/>
          </w:tcPr>
          <w:p w14:paraId="5979C488" w14:textId="1CA4CE2A" w:rsidR="0065016D" w:rsidRPr="005D1D79" w:rsidRDefault="00B866EA" w:rsidP="00F13896">
            <w:pPr>
              <w:rPr>
                <w:rFonts w:eastAsia="Times New Roman" w:cs="Arial"/>
              </w:rPr>
            </w:pPr>
            <w:r>
              <w:rPr>
                <w:rFonts w:eastAsia="Times New Roman" w:cs="Arial"/>
              </w:rPr>
              <w:t>July</w:t>
            </w:r>
            <w:r w:rsidR="002D6BDD">
              <w:rPr>
                <w:rFonts w:eastAsia="Times New Roman" w:cs="Arial"/>
              </w:rPr>
              <w:t xml:space="preserve"> </w:t>
            </w:r>
            <w:r w:rsidR="005D1D79" w:rsidRPr="005D1D79">
              <w:rPr>
                <w:rFonts w:eastAsia="Times New Roman" w:cs="Arial"/>
              </w:rPr>
              <w:t>201</w:t>
            </w:r>
            <w:r w:rsidR="002D6BDD">
              <w:rPr>
                <w:rFonts w:eastAsia="Times New Roman" w:cs="Arial"/>
              </w:rPr>
              <w:t>9</w:t>
            </w:r>
          </w:p>
        </w:tc>
      </w:tr>
      <w:tr w:rsidR="0065016D" w:rsidRPr="005D1D79" w14:paraId="2723672B" w14:textId="77777777" w:rsidTr="00F13896">
        <w:trPr>
          <w:trHeight w:val="147"/>
        </w:trPr>
        <w:tc>
          <w:tcPr>
            <w:tcW w:w="35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73C78" w14:textId="77777777" w:rsidR="0065016D" w:rsidRPr="005D1D79" w:rsidRDefault="0065016D" w:rsidP="00F13896">
            <w:pPr>
              <w:rPr>
                <w:rFonts w:eastAsia="Times New Roman" w:cs="Arial"/>
              </w:rPr>
            </w:pPr>
            <w:r w:rsidRPr="005D1D79">
              <w:rPr>
                <w:rFonts w:eastAsia="Times New Roman" w:cs="Arial"/>
              </w:rPr>
              <w:t>Approving body:</w:t>
            </w:r>
          </w:p>
        </w:tc>
        <w:tc>
          <w:tcPr>
            <w:tcW w:w="5017" w:type="dxa"/>
            <w:tcBorders>
              <w:top w:val="nil"/>
              <w:left w:val="nil"/>
              <w:bottom w:val="single" w:sz="8" w:space="0" w:color="auto"/>
              <w:right w:val="single" w:sz="8" w:space="0" w:color="auto"/>
            </w:tcBorders>
            <w:tcMar>
              <w:top w:w="0" w:type="dxa"/>
              <w:left w:w="108" w:type="dxa"/>
              <w:bottom w:w="0" w:type="dxa"/>
              <w:right w:w="108" w:type="dxa"/>
            </w:tcMar>
            <w:hideMark/>
          </w:tcPr>
          <w:p w14:paraId="1887A721" w14:textId="77777777" w:rsidR="0065016D" w:rsidRPr="005D1D79" w:rsidRDefault="0065016D" w:rsidP="00F13896">
            <w:pPr>
              <w:rPr>
                <w:rFonts w:eastAsia="Times New Roman" w:cs="Arial"/>
              </w:rPr>
            </w:pPr>
            <w:r w:rsidRPr="005D1D79">
              <w:rPr>
                <w:rFonts w:eastAsia="Times New Roman" w:cs="Arial"/>
              </w:rPr>
              <w:t>Planning and Resources Committee</w:t>
            </w:r>
          </w:p>
        </w:tc>
      </w:tr>
      <w:tr w:rsidR="0065016D" w:rsidRPr="005D1D79" w14:paraId="7E22B35C" w14:textId="77777777" w:rsidTr="00F13896">
        <w:trPr>
          <w:trHeight w:val="156"/>
        </w:trPr>
        <w:tc>
          <w:tcPr>
            <w:tcW w:w="35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9AFB8" w14:textId="77777777" w:rsidR="0065016D" w:rsidRPr="005D1D79" w:rsidRDefault="0065016D" w:rsidP="00F13896">
            <w:pPr>
              <w:rPr>
                <w:rFonts w:eastAsia="Times New Roman" w:cs="Arial"/>
              </w:rPr>
            </w:pPr>
            <w:r w:rsidRPr="005D1D79">
              <w:rPr>
                <w:rFonts w:eastAsia="Times New Roman" w:cs="Arial"/>
              </w:rPr>
              <w:lastRenderedPageBreak/>
              <w:t>Version:</w:t>
            </w:r>
          </w:p>
        </w:tc>
        <w:tc>
          <w:tcPr>
            <w:tcW w:w="5017" w:type="dxa"/>
            <w:tcBorders>
              <w:top w:val="nil"/>
              <w:left w:val="nil"/>
              <w:bottom w:val="single" w:sz="8" w:space="0" w:color="auto"/>
              <w:right w:val="single" w:sz="8" w:space="0" w:color="auto"/>
            </w:tcBorders>
            <w:tcMar>
              <w:top w:w="0" w:type="dxa"/>
              <w:left w:w="108" w:type="dxa"/>
              <w:bottom w:w="0" w:type="dxa"/>
              <w:right w:w="108" w:type="dxa"/>
            </w:tcMar>
            <w:hideMark/>
          </w:tcPr>
          <w:p w14:paraId="0416EA2F" w14:textId="77777777" w:rsidR="0065016D" w:rsidRPr="005D1D79" w:rsidRDefault="0065016D" w:rsidP="00F13896">
            <w:pPr>
              <w:rPr>
                <w:rFonts w:eastAsia="Times New Roman" w:cs="Arial"/>
              </w:rPr>
            </w:pPr>
            <w:r w:rsidRPr="005D1D79">
              <w:rPr>
                <w:rFonts w:eastAsia="Times New Roman" w:cs="Arial"/>
              </w:rPr>
              <w:t>1</w:t>
            </w:r>
            <w:r w:rsidR="005D1D79" w:rsidRPr="005D1D79">
              <w:rPr>
                <w:rFonts w:eastAsia="Times New Roman" w:cs="Arial"/>
              </w:rPr>
              <w:t>.0</w:t>
            </w:r>
          </w:p>
        </w:tc>
      </w:tr>
      <w:tr w:rsidR="0065016D" w:rsidRPr="005D1D79" w14:paraId="7F0EC268" w14:textId="77777777" w:rsidTr="00F13896">
        <w:trPr>
          <w:trHeight w:val="147"/>
        </w:trPr>
        <w:tc>
          <w:tcPr>
            <w:tcW w:w="35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47C9A9" w14:textId="77777777" w:rsidR="0065016D" w:rsidRPr="005D1D79" w:rsidRDefault="0065016D" w:rsidP="00F13896">
            <w:pPr>
              <w:rPr>
                <w:rFonts w:eastAsia="Times New Roman" w:cs="Arial"/>
              </w:rPr>
            </w:pPr>
            <w:r w:rsidRPr="005D1D79">
              <w:rPr>
                <w:rFonts w:eastAsia="Times New Roman" w:cs="Arial"/>
              </w:rPr>
              <w:t>Supersedes:</w:t>
            </w:r>
          </w:p>
        </w:tc>
        <w:tc>
          <w:tcPr>
            <w:tcW w:w="5017" w:type="dxa"/>
            <w:tcBorders>
              <w:top w:val="nil"/>
              <w:left w:val="nil"/>
              <w:bottom w:val="single" w:sz="8" w:space="0" w:color="auto"/>
              <w:right w:val="single" w:sz="8" w:space="0" w:color="auto"/>
            </w:tcBorders>
            <w:tcMar>
              <w:top w:w="0" w:type="dxa"/>
              <w:left w:w="108" w:type="dxa"/>
              <w:bottom w:w="0" w:type="dxa"/>
              <w:right w:w="108" w:type="dxa"/>
            </w:tcMar>
            <w:hideMark/>
          </w:tcPr>
          <w:p w14:paraId="211007FA" w14:textId="77777777" w:rsidR="0065016D" w:rsidRPr="005D1D79" w:rsidRDefault="002D6BDD" w:rsidP="00F13896">
            <w:pPr>
              <w:rPr>
                <w:rFonts w:eastAsia="Times New Roman" w:cs="Arial"/>
              </w:rPr>
            </w:pPr>
            <w:r>
              <w:rPr>
                <w:rFonts w:eastAsia="Times New Roman" w:cs="Arial"/>
              </w:rPr>
              <w:t>Commemorative Plaques Policy</w:t>
            </w:r>
          </w:p>
        </w:tc>
      </w:tr>
      <w:tr w:rsidR="0065016D" w:rsidRPr="005D1D79" w14:paraId="0DEBD985" w14:textId="77777777" w:rsidTr="00F13896">
        <w:trPr>
          <w:trHeight w:val="156"/>
        </w:trPr>
        <w:tc>
          <w:tcPr>
            <w:tcW w:w="35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44FFA5" w14:textId="77777777" w:rsidR="0065016D" w:rsidRPr="005D1D79" w:rsidRDefault="0065016D" w:rsidP="00F13896">
            <w:pPr>
              <w:rPr>
                <w:rFonts w:eastAsia="Times New Roman" w:cs="Arial"/>
              </w:rPr>
            </w:pPr>
            <w:r w:rsidRPr="005D1D79">
              <w:rPr>
                <w:rFonts w:eastAsia="Times New Roman" w:cs="Arial"/>
              </w:rPr>
              <w:t>Previous review dates:</w:t>
            </w:r>
          </w:p>
        </w:tc>
        <w:tc>
          <w:tcPr>
            <w:tcW w:w="5017" w:type="dxa"/>
            <w:tcBorders>
              <w:top w:val="nil"/>
              <w:left w:val="nil"/>
              <w:bottom w:val="single" w:sz="8" w:space="0" w:color="auto"/>
              <w:right w:val="single" w:sz="8" w:space="0" w:color="auto"/>
            </w:tcBorders>
            <w:tcMar>
              <w:top w:w="0" w:type="dxa"/>
              <w:left w:w="108" w:type="dxa"/>
              <w:bottom w:w="0" w:type="dxa"/>
              <w:right w:w="108" w:type="dxa"/>
            </w:tcMar>
            <w:hideMark/>
          </w:tcPr>
          <w:p w14:paraId="1610647D" w14:textId="77777777" w:rsidR="0065016D" w:rsidRPr="005D1D79" w:rsidRDefault="005D1D79" w:rsidP="00F13896">
            <w:pPr>
              <w:rPr>
                <w:rFonts w:eastAsia="Times New Roman" w:cs="Arial"/>
              </w:rPr>
            </w:pPr>
            <w:r w:rsidRPr="005D1D79">
              <w:rPr>
                <w:rFonts w:eastAsia="Times New Roman" w:cs="Arial"/>
              </w:rPr>
              <w:t>n/a</w:t>
            </w:r>
          </w:p>
        </w:tc>
      </w:tr>
      <w:tr w:rsidR="0065016D" w:rsidRPr="005D1D79" w14:paraId="7528FF44" w14:textId="77777777" w:rsidTr="00F13896">
        <w:trPr>
          <w:trHeight w:val="147"/>
        </w:trPr>
        <w:tc>
          <w:tcPr>
            <w:tcW w:w="35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046915" w14:textId="77777777" w:rsidR="0065016D" w:rsidRPr="005D1D79" w:rsidRDefault="0065016D" w:rsidP="00F13896">
            <w:pPr>
              <w:rPr>
                <w:rFonts w:eastAsia="Times New Roman" w:cs="Arial"/>
              </w:rPr>
            </w:pPr>
            <w:r w:rsidRPr="005D1D79">
              <w:rPr>
                <w:rFonts w:eastAsia="Times New Roman" w:cs="Arial"/>
              </w:rPr>
              <w:t>Next review date:</w:t>
            </w:r>
          </w:p>
        </w:tc>
        <w:tc>
          <w:tcPr>
            <w:tcW w:w="5017" w:type="dxa"/>
            <w:tcBorders>
              <w:top w:val="nil"/>
              <w:left w:val="nil"/>
              <w:bottom w:val="single" w:sz="8" w:space="0" w:color="auto"/>
              <w:right w:val="single" w:sz="8" w:space="0" w:color="auto"/>
            </w:tcBorders>
            <w:tcMar>
              <w:top w:w="0" w:type="dxa"/>
              <w:left w:w="108" w:type="dxa"/>
              <w:bottom w:w="0" w:type="dxa"/>
              <w:right w:w="108" w:type="dxa"/>
            </w:tcMar>
            <w:hideMark/>
          </w:tcPr>
          <w:p w14:paraId="40401316" w14:textId="5CD5236F" w:rsidR="0065016D" w:rsidRPr="005D1D79" w:rsidRDefault="00B866EA" w:rsidP="00F13896">
            <w:pPr>
              <w:rPr>
                <w:rFonts w:eastAsia="Times New Roman" w:cs="Arial"/>
              </w:rPr>
            </w:pPr>
            <w:r>
              <w:rPr>
                <w:rFonts w:eastAsia="Times New Roman" w:cs="Arial"/>
              </w:rPr>
              <w:t>July</w:t>
            </w:r>
            <w:r w:rsidR="0065016D" w:rsidRPr="005D1D79">
              <w:rPr>
                <w:rFonts w:eastAsia="Times New Roman" w:cs="Arial"/>
              </w:rPr>
              <w:t xml:space="preserve"> 20</w:t>
            </w:r>
            <w:r w:rsidR="002D6BDD">
              <w:rPr>
                <w:rFonts w:eastAsia="Times New Roman" w:cs="Arial"/>
              </w:rPr>
              <w:t>21</w:t>
            </w:r>
          </w:p>
        </w:tc>
      </w:tr>
      <w:tr w:rsidR="0065016D" w:rsidRPr="005D1D79" w14:paraId="6C9E0EEE" w14:textId="77777777" w:rsidTr="00F13896">
        <w:trPr>
          <w:trHeight w:val="147"/>
        </w:trPr>
        <w:tc>
          <w:tcPr>
            <w:tcW w:w="35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D5D076" w14:textId="77777777" w:rsidR="0065016D" w:rsidRPr="005D1D79" w:rsidRDefault="0065016D" w:rsidP="00F13896">
            <w:pPr>
              <w:rPr>
                <w:rFonts w:eastAsia="Times New Roman" w:cs="Arial"/>
              </w:rPr>
            </w:pPr>
            <w:r w:rsidRPr="005D1D79">
              <w:rPr>
                <w:rFonts w:eastAsia="Times New Roman" w:cs="Arial"/>
              </w:rPr>
              <w:t>Equality impact outcome:</w:t>
            </w:r>
          </w:p>
        </w:tc>
        <w:tc>
          <w:tcPr>
            <w:tcW w:w="5017" w:type="dxa"/>
            <w:tcBorders>
              <w:top w:val="nil"/>
              <w:left w:val="nil"/>
              <w:bottom w:val="single" w:sz="8" w:space="0" w:color="auto"/>
              <w:right w:val="single" w:sz="8" w:space="0" w:color="auto"/>
            </w:tcBorders>
            <w:tcMar>
              <w:top w:w="0" w:type="dxa"/>
              <w:left w:w="108" w:type="dxa"/>
              <w:bottom w:w="0" w:type="dxa"/>
              <w:right w:w="108" w:type="dxa"/>
            </w:tcMar>
            <w:hideMark/>
          </w:tcPr>
          <w:p w14:paraId="65AB02FA" w14:textId="77777777" w:rsidR="0065016D" w:rsidRPr="005D1D79" w:rsidRDefault="0065016D" w:rsidP="00F13896">
            <w:pPr>
              <w:rPr>
                <w:rFonts w:eastAsia="Times New Roman" w:cs="Arial"/>
              </w:rPr>
            </w:pPr>
            <w:r w:rsidRPr="005D1D79">
              <w:rPr>
                <w:rFonts w:eastAsia="Times New Roman" w:cs="Arial"/>
              </w:rPr>
              <w:t>n/a</w:t>
            </w:r>
          </w:p>
        </w:tc>
      </w:tr>
      <w:tr w:rsidR="0065016D" w:rsidRPr="005D1D79" w14:paraId="4D5B5F98" w14:textId="77777777" w:rsidTr="00F13896">
        <w:trPr>
          <w:trHeight w:val="312"/>
        </w:trPr>
        <w:tc>
          <w:tcPr>
            <w:tcW w:w="35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F9FB3" w14:textId="77777777" w:rsidR="0065016D" w:rsidRPr="005D1D79" w:rsidRDefault="0065016D" w:rsidP="00F13896">
            <w:pPr>
              <w:rPr>
                <w:rFonts w:eastAsia="Times New Roman" w:cs="Arial"/>
              </w:rPr>
            </w:pPr>
            <w:r w:rsidRPr="005D1D79">
              <w:rPr>
                <w:rFonts w:eastAsia="Times New Roman" w:cs="Arial"/>
              </w:rPr>
              <w:t>Related Statutes, Ordinances, </w:t>
            </w:r>
          </w:p>
          <w:p w14:paraId="1A8E4469" w14:textId="77777777" w:rsidR="0065016D" w:rsidRPr="005D1D79" w:rsidRDefault="0065016D" w:rsidP="00F13896">
            <w:pPr>
              <w:rPr>
                <w:rFonts w:eastAsia="Times New Roman" w:cs="Arial"/>
              </w:rPr>
            </w:pPr>
            <w:r w:rsidRPr="005D1D79">
              <w:rPr>
                <w:rFonts w:eastAsia="Times New Roman" w:cs="Arial"/>
              </w:rPr>
              <w:t>General Regulations:</w:t>
            </w:r>
          </w:p>
        </w:tc>
        <w:tc>
          <w:tcPr>
            <w:tcW w:w="5017" w:type="dxa"/>
            <w:tcBorders>
              <w:top w:val="nil"/>
              <w:left w:val="nil"/>
              <w:bottom w:val="single" w:sz="8" w:space="0" w:color="auto"/>
              <w:right w:val="single" w:sz="8" w:space="0" w:color="auto"/>
            </w:tcBorders>
            <w:tcMar>
              <w:top w:w="0" w:type="dxa"/>
              <w:left w:w="108" w:type="dxa"/>
              <w:bottom w:w="0" w:type="dxa"/>
              <w:right w:w="108" w:type="dxa"/>
            </w:tcMar>
            <w:hideMark/>
          </w:tcPr>
          <w:p w14:paraId="5EE33454" w14:textId="77777777" w:rsidR="0065016D" w:rsidRPr="005D1D79" w:rsidRDefault="0065016D" w:rsidP="00F13896">
            <w:pPr>
              <w:rPr>
                <w:rFonts w:eastAsia="Times New Roman" w:cs="Arial"/>
              </w:rPr>
            </w:pPr>
            <w:r w:rsidRPr="005D1D79">
              <w:rPr>
                <w:rFonts w:eastAsia="Times New Roman" w:cs="Arial"/>
              </w:rPr>
              <w:t>None</w:t>
            </w:r>
          </w:p>
        </w:tc>
      </w:tr>
      <w:tr w:rsidR="0065016D" w:rsidRPr="005D1D79" w14:paraId="6C94F7CA" w14:textId="77777777" w:rsidTr="00F13896">
        <w:trPr>
          <w:trHeight w:val="147"/>
        </w:trPr>
        <w:tc>
          <w:tcPr>
            <w:tcW w:w="35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6F2555" w14:textId="77777777" w:rsidR="0065016D" w:rsidRPr="005D1D79" w:rsidRDefault="0065016D" w:rsidP="00F13896">
            <w:pPr>
              <w:rPr>
                <w:rFonts w:eastAsia="Times New Roman" w:cs="Arial"/>
              </w:rPr>
            </w:pPr>
            <w:r w:rsidRPr="005D1D79">
              <w:rPr>
                <w:rFonts w:eastAsia="Times New Roman" w:cs="Arial"/>
              </w:rPr>
              <w:t>Related policies/procedures/guidance etc</w:t>
            </w:r>
          </w:p>
        </w:tc>
        <w:tc>
          <w:tcPr>
            <w:tcW w:w="5017" w:type="dxa"/>
            <w:tcBorders>
              <w:top w:val="nil"/>
              <w:left w:val="nil"/>
              <w:bottom w:val="single" w:sz="8" w:space="0" w:color="auto"/>
              <w:right w:val="single" w:sz="8" w:space="0" w:color="auto"/>
            </w:tcBorders>
            <w:tcMar>
              <w:top w:w="0" w:type="dxa"/>
              <w:left w:w="108" w:type="dxa"/>
              <w:bottom w:w="0" w:type="dxa"/>
              <w:right w:w="108" w:type="dxa"/>
            </w:tcMar>
            <w:hideMark/>
          </w:tcPr>
          <w:p w14:paraId="53F802EC" w14:textId="2408FE95" w:rsidR="0065016D" w:rsidRPr="005D1D79" w:rsidRDefault="005E550B" w:rsidP="00F13896">
            <w:pPr>
              <w:rPr>
                <w:rFonts w:eastAsia="Times New Roman" w:cs="Arial"/>
              </w:rPr>
            </w:pPr>
            <w:r>
              <w:rPr>
                <w:rFonts w:eastAsia="Times New Roman" w:cs="Arial"/>
              </w:rPr>
              <w:t>University Commemoration Policy</w:t>
            </w:r>
          </w:p>
        </w:tc>
      </w:tr>
      <w:tr w:rsidR="0065016D" w:rsidRPr="005D1D79" w14:paraId="63BAAC2B" w14:textId="77777777" w:rsidTr="00F13896">
        <w:trPr>
          <w:trHeight w:val="121"/>
        </w:trPr>
        <w:tc>
          <w:tcPr>
            <w:tcW w:w="35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F2FB58" w14:textId="77777777" w:rsidR="0065016D" w:rsidRPr="005D1D79" w:rsidRDefault="0065016D" w:rsidP="00F13896">
            <w:pPr>
              <w:rPr>
                <w:rFonts w:eastAsia="Times New Roman" w:cs="Arial"/>
              </w:rPr>
            </w:pPr>
            <w:r w:rsidRPr="005D1D79">
              <w:rPr>
                <w:rFonts w:eastAsia="Times New Roman" w:cs="Arial"/>
              </w:rPr>
              <w:t>Policy owner:</w:t>
            </w:r>
          </w:p>
        </w:tc>
        <w:tc>
          <w:tcPr>
            <w:tcW w:w="5017" w:type="dxa"/>
            <w:tcBorders>
              <w:top w:val="nil"/>
              <w:left w:val="nil"/>
              <w:bottom w:val="single" w:sz="8" w:space="0" w:color="auto"/>
              <w:right w:val="single" w:sz="8" w:space="0" w:color="auto"/>
            </w:tcBorders>
            <w:tcMar>
              <w:top w:w="0" w:type="dxa"/>
              <w:left w:w="108" w:type="dxa"/>
              <w:bottom w:w="0" w:type="dxa"/>
              <w:right w:w="108" w:type="dxa"/>
            </w:tcMar>
            <w:hideMark/>
          </w:tcPr>
          <w:p w14:paraId="69A1154A" w14:textId="7DB66759" w:rsidR="0065016D" w:rsidRPr="005D1D79" w:rsidRDefault="005D1D79" w:rsidP="00F13896">
            <w:pPr>
              <w:rPr>
                <w:rFonts w:eastAsia="Times New Roman" w:cs="Arial"/>
              </w:rPr>
            </w:pPr>
            <w:proofErr w:type="spellStart"/>
            <w:r w:rsidRPr="005D1D79">
              <w:rPr>
                <w:rFonts w:eastAsia="Times New Roman" w:cs="Arial"/>
              </w:rPr>
              <w:t>Dr.</w:t>
            </w:r>
            <w:proofErr w:type="spellEnd"/>
            <w:r w:rsidRPr="005D1D79">
              <w:rPr>
                <w:rFonts w:eastAsia="Times New Roman" w:cs="Arial"/>
              </w:rPr>
              <w:t xml:space="preserve"> James Hopkins, University Historian and </w:t>
            </w:r>
            <w:r w:rsidR="005E550B">
              <w:rPr>
                <w:rFonts w:eastAsia="Times New Roman" w:cs="Arial"/>
              </w:rPr>
              <w:t>Head of Heritage</w:t>
            </w:r>
          </w:p>
        </w:tc>
      </w:tr>
      <w:tr w:rsidR="0065016D" w:rsidRPr="005D1D79" w14:paraId="5E6033CA" w14:textId="77777777" w:rsidTr="00F13896">
        <w:trPr>
          <w:trHeight w:val="121"/>
        </w:trPr>
        <w:tc>
          <w:tcPr>
            <w:tcW w:w="35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6BEA3B" w14:textId="77777777" w:rsidR="0065016D" w:rsidRPr="005D1D79" w:rsidRDefault="0065016D" w:rsidP="00F13896">
            <w:pPr>
              <w:rPr>
                <w:rFonts w:eastAsia="Times New Roman" w:cs="Arial"/>
              </w:rPr>
            </w:pPr>
            <w:r w:rsidRPr="005D1D79">
              <w:rPr>
                <w:rFonts w:eastAsia="Times New Roman" w:cs="Arial"/>
              </w:rPr>
              <w:t>Lead contact:</w:t>
            </w:r>
          </w:p>
        </w:tc>
        <w:tc>
          <w:tcPr>
            <w:tcW w:w="5017" w:type="dxa"/>
            <w:tcBorders>
              <w:top w:val="nil"/>
              <w:left w:val="nil"/>
              <w:bottom w:val="single" w:sz="8" w:space="0" w:color="auto"/>
              <w:right w:val="single" w:sz="8" w:space="0" w:color="auto"/>
            </w:tcBorders>
            <w:tcMar>
              <w:top w:w="0" w:type="dxa"/>
              <w:left w:w="108" w:type="dxa"/>
              <w:bottom w:w="0" w:type="dxa"/>
              <w:right w:w="108" w:type="dxa"/>
            </w:tcMar>
            <w:hideMark/>
          </w:tcPr>
          <w:p w14:paraId="46058F88" w14:textId="79B1E5C5" w:rsidR="0065016D" w:rsidRPr="005D1D79" w:rsidRDefault="005E550B" w:rsidP="00F13896">
            <w:pPr>
              <w:rPr>
                <w:rFonts w:eastAsia="Times New Roman" w:cs="Arial"/>
              </w:rPr>
            </w:pPr>
            <w:proofErr w:type="spellStart"/>
            <w:r w:rsidRPr="005D1D79">
              <w:rPr>
                <w:rFonts w:eastAsia="Times New Roman" w:cs="Arial"/>
              </w:rPr>
              <w:t>Dr.</w:t>
            </w:r>
            <w:proofErr w:type="spellEnd"/>
            <w:r w:rsidRPr="005D1D79">
              <w:rPr>
                <w:rFonts w:eastAsia="Times New Roman" w:cs="Arial"/>
              </w:rPr>
              <w:t xml:space="preserve"> James Hopkins, University Historian and </w:t>
            </w:r>
            <w:r>
              <w:rPr>
                <w:rFonts w:eastAsia="Times New Roman" w:cs="Arial"/>
              </w:rPr>
              <w:t>Head of Heritage</w:t>
            </w:r>
          </w:p>
        </w:tc>
      </w:tr>
    </w:tbl>
    <w:p w14:paraId="2BAFAEFD" w14:textId="77777777" w:rsidR="0065016D" w:rsidRDefault="0065016D"/>
    <w:p w14:paraId="0DD8FB40" w14:textId="77777777" w:rsidR="00047D0D" w:rsidRPr="00047D0D" w:rsidRDefault="00047D0D">
      <w:pPr>
        <w:rPr>
          <w:b/>
        </w:rPr>
      </w:pPr>
      <w:r w:rsidRPr="00047D0D">
        <w:rPr>
          <w:b/>
        </w:rPr>
        <w:t>END</w:t>
      </w:r>
    </w:p>
    <w:sectPr w:rsidR="00047D0D" w:rsidRPr="00047D0D" w:rsidSect="00047D0D">
      <w:footerReference w:type="even" r:id="rId9"/>
      <w:footerReference w:type="default" r:id="rId10"/>
      <w:pgSz w:w="11900" w:h="16840"/>
      <w:pgMar w:top="1304" w:right="1644" w:bottom="1304"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7508A" w14:textId="77777777" w:rsidR="00EF1E2E" w:rsidRDefault="00EF1E2E" w:rsidP="00064529">
      <w:r>
        <w:separator/>
      </w:r>
    </w:p>
  </w:endnote>
  <w:endnote w:type="continuationSeparator" w:id="0">
    <w:p w14:paraId="2C725245" w14:textId="77777777" w:rsidR="00EF1E2E" w:rsidRDefault="00EF1E2E" w:rsidP="00064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67780" w14:textId="77777777" w:rsidR="00F13896" w:rsidRDefault="00F13896" w:rsidP="000645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F35E63" w14:textId="77777777" w:rsidR="00F13896" w:rsidRDefault="00F13896" w:rsidP="000645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FF9CA" w14:textId="2E2AB426" w:rsidR="00F13896" w:rsidRPr="00064529" w:rsidRDefault="00F13896" w:rsidP="00064529">
    <w:pPr>
      <w:pStyle w:val="Footer"/>
      <w:framePr w:wrap="around" w:vAnchor="text" w:hAnchor="margin" w:xAlign="right" w:y="1"/>
      <w:rPr>
        <w:rStyle w:val="PageNumber"/>
        <w:sz w:val="20"/>
        <w:szCs w:val="20"/>
      </w:rPr>
    </w:pPr>
    <w:r w:rsidRPr="00064529">
      <w:rPr>
        <w:rStyle w:val="PageNumber"/>
        <w:sz w:val="20"/>
        <w:szCs w:val="20"/>
      </w:rPr>
      <w:fldChar w:fldCharType="begin"/>
    </w:r>
    <w:r w:rsidRPr="00064529">
      <w:rPr>
        <w:rStyle w:val="PageNumber"/>
        <w:sz w:val="20"/>
        <w:szCs w:val="20"/>
      </w:rPr>
      <w:instrText xml:space="preserve">PAGE  </w:instrText>
    </w:r>
    <w:r w:rsidRPr="00064529">
      <w:rPr>
        <w:rStyle w:val="PageNumber"/>
        <w:sz w:val="20"/>
        <w:szCs w:val="20"/>
      </w:rPr>
      <w:fldChar w:fldCharType="separate"/>
    </w:r>
    <w:r w:rsidR="00E111A6">
      <w:rPr>
        <w:rStyle w:val="PageNumber"/>
        <w:noProof/>
        <w:sz w:val="20"/>
        <w:szCs w:val="20"/>
      </w:rPr>
      <w:t>5</w:t>
    </w:r>
    <w:r w:rsidRPr="00064529">
      <w:rPr>
        <w:rStyle w:val="PageNumber"/>
        <w:sz w:val="20"/>
        <w:szCs w:val="20"/>
      </w:rPr>
      <w:fldChar w:fldCharType="end"/>
    </w:r>
  </w:p>
  <w:p w14:paraId="09DE7D5F" w14:textId="77777777" w:rsidR="00F13896" w:rsidRDefault="00F13896" w:rsidP="000645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2B8FB" w14:textId="77777777" w:rsidR="00EF1E2E" w:rsidRDefault="00EF1E2E" w:rsidP="00064529">
      <w:r>
        <w:separator/>
      </w:r>
    </w:p>
  </w:footnote>
  <w:footnote w:type="continuationSeparator" w:id="0">
    <w:p w14:paraId="0521C1D2" w14:textId="77777777" w:rsidR="00EF1E2E" w:rsidRDefault="00EF1E2E" w:rsidP="00064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454F4"/>
    <w:multiLevelType w:val="hybridMultilevel"/>
    <w:tmpl w:val="9E78F33C"/>
    <w:lvl w:ilvl="0" w:tplc="08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A163B"/>
    <w:multiLevelType w:val="hybridMultilevel"/>
    <w:tmpl w:val="0A5A9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A45494"/>
    <w:multiLevelType w:val="hybridMultilevel"/>
    <w:tmpl w:val="DE085C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27E9A"/>
    <w:multiLevelType w:val="hybridMultilevel"/>
    <w:tmpl w:val="60727316"/>
    <w:lvl w:ilvl="0" w:tplc="D1C6198E">
      <w:start w:val="1"/>
      <w:numFmt w:val="decimal"/>
      <w:lvlText w:val="6.%1"/>
      <w:lvlJc w:val="left"/>
      <w:pPr>
        <w:tabs>
          <w:tab w:val="num" w:pos="984"/>
        </w:tabs>
        <w:ind w:left="984" w:hanging="62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03160"/>
    <w:multiLevelType w:val="hybridMultilevel"/>
    <w:tmpl w:val="DE085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D65CC"/>
    <w:multiLevelType w:val="hybridMultilevel"/>
    <w:tmpl w:val="D7E60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50C42"/>
    <w:multiLevelType w:val="hybridMultilevel"/>
    <w:tmpl w:val="6C600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E6F44"/>
    <w:multiLevelType w:val="hybridMultilevel"/>
    <w:tmpl w:val="86D62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E865D5"/>
    <w:multiLevelType w:val="hybridMultilevel"/>
    <w:tmpl w:val="CB7E5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04703A"/>
    <w:multiLevelType w:val="hybridMultilevel"/>
    <w:tmpl w:val="4FE0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5359C1"/>
    <w:multiLevelType w:val="hybridMultilevel"/>
    <w:tmpl w:val="1F4C2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879F7"/>
    <w:multiLevelType w:val="hybridMultilevel"/>
    <w:tmpl w:val="B21A0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257B80"/>
    <w:multiLevelType w:val="hybridMultilevel"/>
    <w:tmpl w:val="DE085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E478AE"/>
    <w:multiLevelType w:val="hybridMultilevel"/>
    <w:tmpl w:val="3FDEA9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C75B89"/>
    <w:multiLevelType w:val="hybridMultilevel"/>
    <w:tmpl w:val="D7EC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F2EDD"/>
    <w:multiLevelType w:val="hybridMultilevel"/>
    <w:tmpl w:val="33D27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5B01E7"/>
    <w:multiLevelType w:val="hybridMultilevel"/>
    <w:tmpl w:val="5FE40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2D0164"/>
    <w:multiLevelType w:val="hybridMultilevel"/>
    <w:tmpl w:val="160C4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9271AD"/>
    <w:multiLevelType w:val="hybridMultilevel"/>
    <w:tmpl w:val="FD622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81B647E"/>
    <w:multiLevelType w:val="hybridMultilevel"/>
    <w:tmpl w:val="3FDEA9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121A54"/>
    <w:multiLevelType w:val="hybridMultilevel"/>
    <w:tmpl w:val="1A78CF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5E6F5E"/>
    <w:multiLevelType w:val="hybridMultilevel"/>
    <w:tmpl w:val="5BA062DC"/>
    <w:lvl w:ilvl="0" w:tplc="C1B615F4">
      <w:start w:val="1"/>
      <w:numFmt w:val="decimal"/>
      <w:lvlText w:val="11.%1"/>
      <w:lvlJc w:val="left"/>
      <w:pPr>
        <w:tabs>
          <w:tab w:val="num" w:pos="908"/>
        </w:tabs>
        <w:ind w:left="908" w:hanging="73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FF6A62"/>
    <w:multiLevelType w:val="hybridMultilevel"/>
    <w:tmpl w:val="5C7EE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A85E76"/>
    <w:multiLevelType w:val="hybridMultilevel"/>
    <w:tmpl w:val="DE085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E36D5C"/>
    <w:multiLevelType w:val="hybridMultilevel"/>
    <w:tmpl w:val="A510C9A4"/>
    <w:lvl w:ilvl="0" w:tplc="134ED7B8">
      <w:start w:val="1"/>
      <w:numFmt w:val="decimal"/>
      <w:lvlText w:val="8.3.%1"/>
      <w:lvlJc w:val="left"/>
      <w:pPr>
        <w:tabs>
          <w:tab w:val="num" w:pos="794"/>
        </w:tabs>
        <w:ind w:left="794" w:hanging="62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322C02"/>
    <w:multiLevelType w:val="hybridMultilevel"/>
    <w:tmpl w:val="E48E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FB1C7A"/>
    <w:multiLevelType w:val="hybridMultilevel"/>
    <w:tmpl w:val="DE085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11"/>
  </w:num>
  <w:num w:numId="4">
    <w:abstractNumId w:val="9"/>
  </w:num>
  <w:num w:numId="5">
    <w:abstractNumId w:val="20"/>
  </w:num>
  <w:num w:numId="6">
    <w:abstractNumId w:val="3"/>
  </w:num>
  <w:num w:numId="7">
    <w:abstractNumId w:val="21"/>
  </w:num>
  <w:num w:numId="8">
    <w:abstractNumId w:val="19"/>
  </w:num>
  <w:num w:numId="9">
    <w:abstractNumId w:val="24"/>
  </w:num>
  <w:num w:numId="10">
    <w:abstractNumId w:val="4"/>
  </w:num>
  <w:num w:numId="11">
    <w:abstractNumId w:val="23"/>
  </w:num>
  <w:num w:numId="12">
    <w:abstractNumId w:val="22"/>
  </w:num>
  <w:num w:numId="13">
    <w:abstractNumId w:val="26"/>
  </w:num>
  <w:num w:numId="14">
    <w:abstractNumId w:val="6"/>
  </w:num>
  <w:num w:numId="15">
    <w:abstractNumId w:val="25"/>
  </w:num>
  <w:num w:numId="16">
    <w:abstractNumId w:val="16"/>
  </w:num>
  <w:num w:numId="17">
    <w:abstractNumId w:val="17"/>
  </w:num>
  <w:num w:numId="18">
    <w:abstractNumId w:val="15"/>
  </w:num>
  <w:num w:numId="19">
    <w:abstractNumId w:val="8"/>
  </w:num>
  <w:num w:numId="20">
    <w:abstractNumId w:val="10"/>
  </w:num>
  <w:num w:numId="21">
    <w:abstractNumId w:val="2"/>
  </w:num>
  <w:num w:numId="22">
    <w:abstractNumId w:val="1"/>
  </w:num>
  <w:num w:numId="23">
    <w:abstractNumId w:val="14"/>
  </w:num>
  <w:num w:numId="24">
    <w:abstractNumId w:val="13"/>
  </w:num>
  <w:num w:numId="25">
    <w:abstractNumId w:val="7"/>
  </w:num>
  <w:num w:numId="26">
    <w:abstractNumId w:val="0"/>
  </w:num>
  <w:num w:numId="2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4A"/>
    <w:rsid w:val="000272D7"/>
    <w:rsid w:val="00030DA9"/>
    <w:rsid w:val="00037744"/>
    <w:rsid w:val="00037782"/>
    <w:rsid w:val="00037B38"/>
    <w:rsid w:val="00040BFE"/>
    <w:rsid w:val="00047D0D"/>
    <w:rsid w:val="00052348"/>
    <w:rsid w:val="00053D45"/>
    <w:rsid w:val="00054B86"/>
    <w:rsid w:val="00057BC6"/>
    <w:rsid w:val="00062701"/>
    <w:rsid w:val="00064529"/>
    <w:rsid w:val="00064F61"/>
    <w:rsid w:val="000666ED"/>
    <w:rsid w:val="00067C46"/>
    <w:rsid w:val="00070D0D"/>
    <w:rsid w:val="00073ED8"/>
    <w:rsid w:val="00076DE0"/>
    <w:rsid w:val="00081EF3"/>
    <w:rsid w:val="0008640D"/>
    <w:rsid w:val="000864EA"/>
    <w:rsid w:val="000905D0"/>
    <w:rsid w:val="0009078B"/>
    <w:rsid w:val="00091430"/>
    <w:rsid w:val="0009346D"/>
    <w:rsid w:val="000944A7"/>
    <w:rsid w:val="000A691F"/>
    <w:rsid w:val="000B0B1A"/>
    <w:rsid w:val="000B1208"/>
    <w:rsid w:val="000B7FFE"/>
    <w:rsid w:val="000C6F02"/>
    <w:rsid w:val="000D030C"/>
    <w:rsid w:val="000D17B0"/>
    <w:rsid w:val="000D4B85"/>
    <w:rsid w:val="000E0930"/>
    <w:rsid w:val="000E17D3"/>
    <w:rsid w:val="000E1904"/>
    <w:rsid w:val="000E39D5"/>
    <w:rsid w:val="000E3AB7"/>
    <w:rsid w:val="000E5AF5"/>
    <w:rsid w:val="000F761B"/>
    <w:rsid w:val="00101948"/>
    <w:rsid w:val="00110CCF"/>
    <w:rsid w:val="001115F4"/>
    <w:rsid w:val="00111E54"/>
    <w:rsid w:val="001162F6"/>
    <w:rsid w:val="001222B3"/>
    <w:rsid w:val="00122ABD"/>
    <w:rsid w:val="001312AF"/>
    <w:rsid w:val="00131CEA"/>
    <w:rsid w:val="0013439A"/>
    <w:rsid w:val="00136AFD"/>
    <w:rsid w:val="0014057A"/>
    <w:rsid w:val="001437C2"/>
    <w:rsid w:val="00146C91"/>
    <w:rsid w:val="00153ED2"/>
    <w:rsid w:val="00156263"/>
    <w:rsid w:val="001602C8"/>
    <w:rsid w:val="00166DB6"/>
    <w:rsid w:val="001717A6"/>
    <w:rsid w:val="00182DBA"/>
    <w:rsid w:val="00184314"/>
    <w:rsid w:val="001860BC"/>
    <w:rsid w:val="001874E1"/>
    <w:rsid w:val="00194C68"/>
    <w:rsid w:val="001A113F"/>
    <w:rsid w:val="001A2B3C"/>
    <w:rsid w:val="001A463E"/>
    <w:rsid w:val="001A4BC3"/>
    <w:rsid w:val="001A71F6"/>
    <w:rsid w:val="001B2C1A"/>
    <w:rsid w:val="001B3841"/>
    <w:rsid w:val="001B52F8"/>
    <w:rsid w:val="001B5B95"/>
    <w:rsid w:val="001C2256"/>
    <w:rsid w:val="001C5A7E"/>
    <w:rsid w:val="001D3E00"/>
    <w:rsid w:val="001E18B8"/>
    <w:rsid w:val="001F06C4"/>
    <w:rsid w:val="001F1895"/>
    <w:rsid w:val="001F333F"/>
    <w:rsid w:val="001F6954"/>
    <w:rsid w:val="0020580C"/>
    <w:rsid w:val="00206DD8"/>
    <w:rsid w:val="0021020A"/>
    <w:rsid w:val="00211442"/>
    <w:rsid w:val="00214436"/>
    <w:rsid w:val="00221EA7"/>
    <w:rsid w:val="0022489C"/>
    <w:rsid w:val="00225CBA"/>
    <w:rsid w:val="0023516B"/>
    <w:rsid w:val="00237F46"/>
    <w:rsid w:val="00244DAE"/>
    <w:rsid w:val="002539EF"/>
    <w:rsid w:val="0025421C"/>
    <w:rsid w:val="00257E63"/>
    <w:rsid w:val="0026765A"/>
    <w:rsid w:val="00276B9A"/>
    <w:rsid w:val="0028332B"/>
    <w:rsid w:val="0029203D"/>
    <w:rsid w:val="00293AAC"/>
    <w:rsid w:val="002A1088"/>
    <w:rsid w:val="002A5D03"/>
    <w:rsid w:val="002A7630"/>
    <w:rsid w:val="002C66D7"/>
    <w:rsid w:val="002D1B0B"/>
    <w:rsid w:val="002D2765"/>
    <w:rsid w:val="002D2F52"/>
    <w:rsid w:val="002D6BBD"/>
    <w:rsid w:val="002D6BDD"/>
    <w:rsid w:val="002D764C"/>
    <w:rsid w:val="002E4450"/>
    <w:rsid w:val="002E4E61"/>
    <w:rsid w:val="002F0027"/>
    <w:rsid w:val="002F5CFD"/>
    <w:rsid w:val="002F5D5F"/>
    <w:rsid w:val="003049D7"/>
    <w:rsid w:val="00306B64"/>
    <w:rsid w:val="003102C2"/>
    <w:rsid w:val="00316CFB"/>
    <w:rsid w:val="00321B92"/>
    <w:rsid w:val="00325BAC"/>
    <w:rsid w:val="00325BE2"/>
    <w:rsid w:val="003316D6"/>
    <w:rsid w:val="00331FBF"/>
    <w:rsid w:val="00334E46"/>
    <w:rsid w:val="00335823"/>
    <w:rsid w:val="00340D22"/>
    <w:rsid w:val="00341218"/>
    <w:rsid w:val="00350EE3"/>
    <w:rsid w:val="003621E6"/>
    <w:rsid w:val="003639B2"/>
    <w:rsid w:val="00364FB8"/>
    <w:rsid w:val="003700C6"/>
    <w:rsid w:val="003705B0"/>
    <w:rsid w:val="00376994"/>
    <w:rsid w:val="00380776"/>
    <w:rsid w:val="003873CE"/>
    <w:rsid w:val="00387912"/>
    <w:rsid w:val="00390270"/>
    <w:rsid w:val="0039121B"/>
    <w:rsid w:val="0039649A"/>
    <w:rsid w:val="0039675B"/>
    <w:rsid w:val="003A19C4"/>
    <w:rsid w:val="003A3116"/>
    <w:rsid w:val="003A544A"/>
    <w:rsid w:val="003B16E4"/>
    <w:rsid w:val="003B3C4A"/>
    <w:rsid w:val="003B4C78"/>
    <w:rsid w:val="003C005B"/>
    <w:rsid w:val="003C3389"/>
    <w:rsid w:val="003D2D9A"/>
    <w:rsid w:val="003D3E2C"/>
    <w:rsid w:val="003E2FCA"/>
    <w:rsid w:val="003E3436"/>
    <w:rsid w:val="003F03AE"/>
    <w:rsid w:val="003F0D17"/>
    <w:rsid w:val="003F5CC0"/>
    <w:rsid w:val="00402345"/>
    <w:rsid w:val="0041107A"/>
    <w:rsid w:val="00411A76"/>
    <w:rsid w:val="00414C38"/>
    <w:rsid w:val="00414EA6"/>
    <w:rsid w:val="00415F54"/>
    <w:rsid w:val="0042475F"/>
    <w:rsid w:val="00433AB7"/>
    <w:rsid w:val="004436B2"/>
    <w:rsid w:val="00443E4B"/>
    <w:rsid w:val="00444851"/>
    <w:rsid w:val="004508EC"/>
    <w:rsid w:val="0045291D"/>
    <w:rsid w:val="004534BD"/>
    <w:rsid w:val="00460BDB"/>
    <w:rsid w:val="00461308"/>
    <w:rsid w:val="00471A60"/>
    <w:rsid w:val="004744A4"/>
    <w:rsid w:val="004744BF"/>
    <w:rsid w:val="00477426"/>
    <w:rsid w:val="00480E64"/>
    <w:rsid w:val="004901CC"/>
    <w:rsid w:val="0049057B"/>
    <w:rsid w:val="004942A9"/>
    <w:rsid w:val="00496454"/>
    <w:rsid w:val="00497B2F"/>
    <w:rsid w:val="004A06BD"/>
    <w:rsid w:val="004B11E1"/>
    <w:rsid w:val="004B2E35"/>
    <w:rsid w:val="004B4DBF"/>
    <w:rsid w:val="004B529D"/>
    <w:rsid w:val="004C0A18"/>
    <w:rsid w:val="004C5DBA"/>
    <w:rsid w:val="004C742A"/>
    <w:rsid w:val="004D51F3"/>
    <w:rsid w:val="004D7C17"/>
    <w:rsid w:val="004E1FD0"/>
    <w:rsid w:val="004E254F"/>
    <w:rsid w:val="004E6476"/>
    <w:rsid w:val="004E6D80"/>
    <w:rsid w:val="004F0F87"/>
    <w:rsid w:val="004F2EEE"/>
    <w:rsid w:val="005019FB"/>
    <w:rsid w:val="0050720D"/>
    <w:rsid w:val="005129C6"/>
    <w:rsid w:val="0051516A"/>
    <w:rsid w:val="00520141"/>
    <w:rsid w:val="0052100B"/>
    <w:rsid w:val="005216CA"/>
    <w:rsid w:val="005231AB"/>
    <w:rsid w:val="005477F4"/>
    <w:rsid w:val="00552695"/>
    <w:rsid w:val="00555849"/>
    <w:rsid w:val="0056023C"/>
    <w:rsid w:val="00564F29"/>
    <w:rsid w:val="005658CB"/>
    <w:rsid w:val="005778C8"/>
    <w:rsid w:val="00580AB9"/>
    <w:rsid w:val="00585C10"/>
    <w:rsid w:val="005A14BF"/>
    <w:rsid w:val="005A1B7C"/>
    <w:rsid w:val="005A2FD4"/>
    <w:rsid w:val="005A324C"/>
    <w:rsid w:val="005B02EC"/>
    <w:rsid w:val="005B4B18"/>
    <w:rsid w:val="005B5A72"/>
    <w:rsid w:val="005C1054"/>
    <w:rsid w:val="005C1D70"/>
    <w:rsid w:val="005C239B"/>
    <w:rsid w:val="005C71A5"/>
    <w:rsid w:val="005D1D79"/>
    <w:rsid w:val="005D5C33"/>
    <w:rsid w:val="005E0C08"/>
    <w:rsid w:val="005E4410"/>
    <w:rsid w:val="005E550B"/>
    <w:rsid w:val="005F0932"/>
    <w:rsid w:val="005F1F1F"/>
    <w:rsid w:val="005F48D5"/>
    <w:rsid w:val="005F7163"/>
    <w:rsid w:val="00600E9F"/>
    <w:rsid w:val="00600EDE"/>
    <w:rsid w:val="00605656"/>
    <w:rsid w:val="00607464"/>
    <w:rsid w:val="0061160D"/>
    <w:rsid w:val="00614669"/>
    <w:rsid w:val="00621049"/>
    <w:rsid w:val="00623305"/>
    <w:rsid w:val="00624DB1"/>
    <w:rsid w:val="00627EB0"/>
    <w:rsid w:val="0063077B"/>
    <w:rsid w:val="00637CFA"/>
    <w:rsid w:val="00641B36"/>
    <w:rsid w:val="00642DE4"/>
    <w:rsid w:val="0064578B"/>
    <w:rsid w:val="0065016D"/>
    <w:rsid w:val="00650583"/>
    <w:rsid w:val="00653236"/>
    <w:rsid w:val="00654406"/>
    <w:rsid w:val="0066208E"/>
    <w:rsid w:val="0066524C"/>
    <w:rsid w:val="00670EEB"/>
    <w:rsid w:val="006773F1"/>
    <w:rsid w:val="00677C42"/>
    <w:rsid w:val="00686D4B"/>
    <w:rsid w:val="00686E31"/>
    <w:rsid w:val="00687790"/>
    <w:rsid w:val="00696DAE"/>
    <w:rsid w:val="006979AB"/>
    <w:rsid w:val="006A30E6"/>
    <w:rsid w:val="006A52F6"/>
    <w:rsid w:val="006A6972"/>
    <w:rsid w:val="006B1758"/>
    <w:rsid w:val="006B3AEE"/>
    <w:rsid w:val="006B7452"/>
    <w:rsid w:val="006B7FB9"/>
    <w:rsid w:val="006C1472"/>
    <w:rsid w:val="006C5573"/>
    <w:rsid w:val="006C7EB3"/>
    <w:rsid w:val="006C7F78"/>
    <w:rsid w:val="006D3267"/>
    <w:rsid w:val="006D3EC2"/>
    <w:rsid w:val="006D7343"/>
    <w:rsid w:val="006D7864"/>
    <w:rsid w:val="006E1602"/>
    <w:rsid w:val="006E43B0"/>
    <w:rsid w:val="006F1256"/>
    <w:rsid w:val="006F38DE"/>
    <w:rsid w:val="006F6648"/>
    <w:rsid w:val="006F6BED"/>
    <w:rsid w:val="00700AD0"/>
    <w:rsid w:val="00701EC5"/>
    <w:rsid w:val="00702489"/>
    <w:rsid w:val="007118E4"/>
    <w:rsid w:val="00712094"/>
    <w:rsid w:val="007136D8"/>
    <w:rsid w:val="00713A82"/>
    <w:rsid w:val="007170F0"/>
    <w:rsid w:val="007178AA"/>
    <w:rsid w:val="00725094"/>
    <w:rsid w:val="007250AC"/>
    <w:rsid w:val="00725A4A"/>
    <w:rsid w:val="00734ECE"/>
    <w:rsid w:val="00740FC9"/>
    <w:rsid w:val="0074361E"/>
    <w:rsid w:val="0074500A"/>
    <w:rsid w:val="00747C4A"/>
    <w:rsid w:val="00755F41"/>
    <w:rsid w:val="00756807"/>
    <w:rsid w:val="007631E6"/>
    <w:rsid w:val="00763701"/>
    <w:rsid w:val="0077174E"/>
    <w:rsid w:val="007761A9"/>
    <w:rsid w:val="007807DE"/>
    <w:rsid w:val="00792BB1"/>
    <w:rsid w:val="00792D07"/>
    <w:rsid w:val="00795832"/>
    <w:rsid w:val="007972AE"/>
    <w:rsid w:val="00797446"/>
    <w:rsid w:val="007B0FAB"/>
    <w:rsid w:val="007B29F0"/>
    <w:rsid w:val="007B4715"/>
    <w:rsid w:val="007B4D4C"/>
    <w:rsid w:val="007C1A7D"/>
    <w:rsid w:val="007C2EA9"/>
    <w:rsid w:val="007C7D61"/>
    <w:rsid w:val="007D6E04"/>
    <w:rsid w:val="007F3BBE"/>
    <w:rsid w:val="007F5007"/>
    <w:rsid w:val="007F7A75"/>
    <w:rsid w:val="00805062"/>
    <w:rsid w:val="008110E6"/>
    <w:rsid w:val="00814099"/>
    <w:rsid w:val="00822CD3"/>
    <w:rsid w:val="00823E57"/>
    <w:rsid w:val="00824397"/>
    <w:rsid w:val="008316CB"/>
    <w:rsid w:val="00832DF7"/>
    <w:rsid w:val="008349C6"/>
    <w:rsid w:val="00840989"/>
    <w:rsid w:val="00840E6C"/>
    <w:rsid w:val="00841450"/>
    <w:rsid w:val="0084149A"/>
    <w:rsid w:val="008449E9"/>
    <w:rsid w:val="00846A6C"/>
    <w:rsid w:val="00850194"/>
    <w:rsid w:val="00851CBD"/>
    <w:rsid w:val="008568E8"/>
    <w:rsid w:val="008575F8"/>
    <w:rsid w:val="008624B2"/>
    <w:rsid w:val="00862886"/>
    <w:rsid w:val="00864801"/>
    <w:rsid w:val="0088709A"/>
    <w:rsid w:val="008A2C79"/>
    <w:rsid w:val="008A618D"/>
    <w:rsid w:val="008A6D39"/>
    <w:rsid w:val="008A6E22"/>
    <w:rsid w:val="008A72E4"/>
    <w:rsid w:val="008B3FD3"/>
    <w:rsid w:val="008B4879"/>
    <w:rsid w:val="008B5D56"/>
    <w:rsid w:val="008B73B1"/>
    <w:rsid w:val="008C0BC8"/>
    <w:rsid w:val="008C4C8A"/>
    <w:rsid w:val="008D33BA"/>
    <w:rsid w:val="008D5B9D"/>
    <w:rsid w:val="008D7C94"/>
    <w:rsid w:val="008E30E9"/>
    <w:rsid w:val="008E5760"/>
    <w:rsid w:val="008E76BA"/>
    <w:rsid w:val="008F29BF"/>
    <w:rsid w:val="008F3A81"/>
    <w:rsid w:val="008F65F2"/>
    <w:rsid w:val="008F6712"/>
    <w:rsid w:val="0090041F"/>
    <w:rsid w:val="009004A9"/>
    <w:rsid w:val="009007D7"/>
    <w:rsid w:val="00901AB0"/>
    <w:rsid w:val="00910DFE"/>
    <w:rsid w:val="00924152"/>
    <w:rsid w:val="00932DBB"/>
    <w:rsid w:val="0093487C"/>
    <w:rsid w:val="00934E10"/>
    <w:rsid w:val="0093657D"/>
    <w:rsid w:val="009408B6"/>
    <w:rsid w:val="009450C0"/>
    <w:rsid w:val="00946738"/>
    <w:rsid w:val="00954FD9"/>
    <w:rsid w:val="00956792"/>
    <w:rsid w:val="00956F43"/>
    <w:rsid w:val="00960C26"/>
    <w:rsid w:val="009924E2"/>
    <w:rsid w:val="009976BA"/>
    <w:rsid w:val="009A2947"/>
    <w:rsid w:val="009A7C5A"/>
    <w:rsid w:val="009B2A0F"/>
    <w:rsid w:val="009B4C46"/>
    <w:rsid w:val="009B5D71"/>
    <w:rsid w:val="009C3F67"/>
    <w:rsid w:val="009C6572"/>
    <w:rsid w:val="009C776D"/>
    <w:rsid w:val="009D134B"/>
    <w:rsid w:val="009E0B86"/>
    <w:rsid w:val="009E1021"/>
    <w:rsid w:val="009E14CF"/>
    <w:rsid w:val="009E405E"/>
    <w:rsid w:val="009E65EA"/>
    <w:rsid w:val="009F0205"/>
    <w:rsid w:val="009F09BA"/>
    <w:rsid w:val="00A01405"/>
    <w:rsid w:val="00A0489A"/>
    <w:rsid w:val="00A13BD9"/>
    <w:rsid w:val="00A14357"/>
    <w:rsid w:val="00A1698D"/>
    <w:rsid w:val="00A2363D"/>
    <w:rsid w:val="00A272AA"/>
    <w:rsid w:val="00A308CA"/>
    <w:rsid w:val="00A33A5B"/>
    <w:rsid w:val="00A357B4"/>
    <w:rsid w:val="00A4018B"/>
    <w:rsid w:val="00A40AE9"/>
    <w:rsid w:val="00A44C94"/>
    <w:rsid w:val="00A53588"/>
    <w:rsid w:val="00A55709"/>
    <w:rsid w:val="00A561C9"/>
    <w:rsid w:val="00A57D5B"/>
    <w:rsid w:val="00A67BE4"/>
    <w:rsid w:val="00A711B0"/>
    <w:rsid w:val="00A76EE9"/>
    <w:rsid w:val="00A81786"/>
    <w:rsid w:val="00A90759"/>
    <w:rsid w:val="00A90911"/>
    <w:rsid w:val="00A915BF"/>
    <w:rsid w:val="00A95C45"/>
    <w:rsid w:val="00A979E6"/>
    <w:rsid w:val="00AB0C78"/>
    <w:rsid w:val="00AB0F1E"/>
    <w:rsid w:val="00AB2A44"/>
    <w:rsid w:val="00AC414B"/>
    <w:rsid w:val="00AC4C4E"/>
    <w:rsid w:val="00AC7822"/>
    <w:rsid w:val="00AD60C9"/>
    <w:rsid w:val="00AD6837"/>
    <w:rsid w:val="00AE125A"/>
    <w:rsid w:val="00AE20F1"/>
    <w:rsid w:val="00AE4BF8"/>
    <w:rsid w:val="00AE5DEF"/>
    <w:rsid w:val="00AF183B"/>
    <w:rsid w:val="00B0048D"/>
    <w:rsid w:val="00B0629F"/>
    <w:rsid w:val="00B15A1C"/>
    <w:rsid w:val="00B2086E"/>
    <w:rsid w:val="00B24DA3"/>
    <w:rsid w:val="00B254B1"/>
    <w:rsid w:val="00B343E6"/>
    <w:rsid w:val="00B36D2A"/>
    <w:rsid w:val="00B37135"/>
    <w:rsid w:val="00B45EAF"/>
    <w:rsid w:val="00B45F5F"/>
    <w:rsid w:val="00B53B0E"/>
    <w:rsid w:val="00B5479C"/>
    <w:rsid w:val="00B60A55"/>
    <w:rsid w:val="00B611C8"/>
    <w:rsid w:val="00B62D2E"/>
    <w:rsid w:val="00B77E0B"/>
    <w:rsid w:val="00B866EA"/>
    <w:rsid w:val="00B940F7"/>
    <w:rsid w:val="00B97367"/>
    <w:rsid w:val="00BA1181"/>
    <w:rsid w:val="00BA1C34"/>
    <w:rsid w:val="00BC1860"/>
    <w:rsid w:val="00BE67FA"/>
    <w:rsid w:val="00BF31F6"/>
    <w:rsid w:val="00BF634D"/>
    <w:rsid w:val="00C03AD3"/>
    <w:rsid w:val="00C0573C"/>
    <w:rsid w:val="00C17BCA"/>
    <w:rsid w:val="00C228FB"/>
    <w:rsid w:val="00C250E1"/>
    <w:rsid w:val="00C25838"/>
    <w:rsid w:val="00C25FF3"/>
    <w:rsid w:val="00C266D2"/>
    <w:rsid w:val="00C26B61"/>
    <w:rsid w:val="00C313F3"/>
    <w:rsid w:val="00C34632"/>
    <w:rsid w:val="00C378B2"/>
    <w:rsid w:val="00C379B5"/>
    <w:rsid w:val="00C415E4"/>
    <w:rsid w:val="00C457AF"/>
    <w:rsid w:val="00C47938"/>
    <w:rsid w:val="00C521DB"/>
    <w:rsid w:val="00C542E3"/>
    <w:rsid w:val="00C56F6C"/>
    <w:rsid w:val="00C62DDA"/>
    <w:rsid w:val="00C67824"/>
    <w:rsid w:val="00C71097"/>
    <w:rsid w:val="00C711CD"/>
    <w:rsid w:val="00C727B0"/>
    <w:rsid w:val="00C73F6A"/>
    <w:rsid w:val="00C747D2"/>
    <w:rsid w:val="00C906EA"/>
    <w:rsid w:val="00C91AF1"/>
    <w:rsid w:val="00C92FF2"/>
    <w:rsid w:val="00C938CE"/>
    <w:rsid w:val="00C9644A"/>
    <w:rsid w:val="00C96D6B"/>
    <w:rsid w:val="00CA3436"/>
    <w:rsid w:val="00CA6BCB"/>
    <w:rsid w:val="00CB290D"/>
    <w:rsid w:val="00CB3422"/>
    <w:rsid w:val="00CB3671"/>
    <w:rsid w:val="00CB5228"/>
    <w:rsid w:val="00CB5AF1"/>
    <w:rsid w:val="00CC14CC"/>
    <w:rsid w:val="00CC3AB9"/>
    <w:rsid w:val="00CD05F4"/>
    <w:rsid w:val="00CD4EE0"/>
    <w:rsid w:val="00CD609E"/>
    <w:rsid w:val="00CE2324"/>
    <w:rsid w:val="00CF25AF"/>
    <w:rsid w:val="00CF54EB"/>
    <w:rsid w:val="00CF718A"/>
    <w:rsid w:val="00CF7C02"/>
    <w:rsid w:val="00D00A41"/>
    <w:rsid w:val="00D013D8"/>
    <w:rsid w:val="00D0432C"/>
    <w:rsid w:val="00D0788D"/>
    <w:rsid w:val="00D13B4A"/>
    <w:rsid w:val="00D219D2"/>
    <w:rsid w:val="00D27866"/>
    <w:rsid w:val="00D36DFE"/>
    <w:rsid w:val="00D37259"/>
    <w:rsid w:val="00D42E65"/>
    <w:rsid w:val="00D43F19"/>
    <w:rsid w:val="00D4418D"/>
    <w:rsid w:val="00D578EE"/>
    <w:rsid w:val="00D6014D"/>
    <w:rsid w:val="00D70378"/>
    <w:rsid w:val="00D7384A"/>
    <w:rsid w:val="00D74C6C"/>
    <w:rsid w:val="00D76733"/>
    <w:rsid w:val="00D81898"/>
    <w:rsid w:val="00D93ACA"/>
    <w:rsid w:val="00DA13EA"/>
    <w:rsid w:val="00DB1C45"/>
    <w:rsid w:val="00DB5E82"/>
    <w:rsid w:val="00DC09CA"/>
    <w:rsid w:val="00DD586B"/>
    <w:rsid w:val="00DD74F9"/>
    <w:rsid w:val="00DF0E47"/>
    <w:rsid w:val="00DF1400"/>
    <w:rsid w:val="00DF3431"/>
    <w:rsid w:val="00E111A6"/>
    <w:rsid w:val="00E11902"/>
    <w:rsid w:val="00E14B95"/>
    <w:rsid w:val="00E161DC"/>
    <w:rsid w:val="00E16DF9"/>
    <w:rsid w:val="00E22C88"/>
    <w:rsid w:val="00E24013"/>
    <w:rsid w:val="00E26C47"/>
    <w:rsid w:val="00E31945"/>
    <w:rsid w:val="00E33305"/>
    <w:rsid w:val="00E341A8"/>
    <w:rsid w:val="00E347FA"/>
    <w:rsid w:val="00E3488F"/>
    <w:rsid w:val="00E3767C"/>
    <w:rsid w:val="00E41629"/>
    <w:rsid w:val="00E444C4"/>
    <w:rsid w:val="00E52B2C"/>
    <w:rsid w:val="00E533D5"/>
    <w:rsid w:val="00E54CB4"/>
    <w:rsid w:val="00E54F62"/>
    <w:rsid w:val="00E579FB"/>
    <w:rsid w:val="00E77F2B"/>
    <w:rsid w:val="00E85489"/>
    <w:rsid w:val="00E85C5B"/>
    <w:rsid w:val="00E91197"/>
    <w:rsid w:val="00EA12FD"/>
    <w:rsid w:val="00EA38A1"/>
    <w:rsid w:val="00EA3D54"/>
    <w:rsid w:val="00EA48A9"/>
    <w:rsid w:val="00EA71A6"/>
    <w:rsid w:val="00EB1238"/>
    <w:rsid w:val="00EB1C12"/>
    <w:rsid w:val="00EB503C"/>
    <w:rsid w:val="00EB67FC"/>
    <w:rsid w:val="00EB6AB5"/>
    <w:rsid w:val="00EC2C68"/>
    <w:rsid w:val="00EE3AA4"/>
    <w:rsid w:val="00EE41D7"/>
    <w:rsid w:val="00EF1E2E"/>
    <w:rsid w:val="00EF4AE9"/>
    <w:rsid w:val="00EF55F0"/>
    <w:rsid w:val="00F029E0"/>
    <w:rsid w:val="00F130BC"/>
    <w:rsid w:val="00F13896"/>
    <w:rsid w:val="00F21B94"/>
    <w:rsid w:val="00F21DE7"/>
    <w:rsid w:val="00F25692"/>
    <w:rsid w:val="00F348A6"/>
    <w:rsid w:val="00F354C3"/>
    <w:rsid w:val="00F3553D"/>
    <w:rsid w:val="00F57BE0"/>
    <w:rsid w:val="00F72D41"/>
    <w:rsid w:val="00F7660C"/>
    <w:rsid w:val="00F777C5"/>
    <w:rsid w:val="00F82D0E"/>
    <w:rsid w:val="00F91BD7"/>
    <w:rsid w:val="00F95441"/>
    <w:rsid w:val="00FA6787"/>
    <w:rsid w:val="00FB2209"/>
    <w:rsid w:val="00FB6151"/>
    <w:rsid w:val="00FB7C6A"/>
    <w:rsid w:val="00FC4D38"/>
    <w:rsid w:val="00FC616D"/>
    <w:rsid w:val="00FD0331"/>
    <w:rsid w:val="00FD0438"/>
    <w:rsid w:val="00FD57CC"/>
    <w:rsid w:val="00FD6226"/>
    <w:rsid w:val="00FE2232"/>
    <w:rsid w:val="00FE5FB4"/>
    <w:rsid w:val="00FE799D"/>
    <w:rsid w:val="00FF3517"/>
    <w:rsid w:val="00FF4B2B"/>
    <w:rsid w:val="00FF686A"/>
    <w:rsid w:val="00FF6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ADA8B0"/>
  <w14:defaultImageDpi w14:val="300"/>
  <w15:docId w15:val="{D934F13A-361C-644D-A913-B9FDD12B9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76BA"/>
    <w:rPr>
      <w:rFonts w:ascii="Arial" w:hAnsi="Arial"/>
      <w:sz w:val="22"/>
      <w:lang w:val="en-GB"/>
    </w:rPr>
  </w:style>
  <w:style w:type="paragraph" w:styleId="Heading1">
    <w:name w:val="heading 1"/>
    <w:basedOn w:val="Normal"/>
    <w:next w:val="Normal"/>
    <w:link w:val="Heading1Char"/>
    <w:uiPriority w:val="9"/>
    <w:qFormat/>
    <w:rsid w:val="00E3488F"/>
    <w:pPr>
      <w:keepNext/>
      <w:keepLines/>
      <w:spacing w:before="240" w:after="240"/>
      <w:jc w:val="center"/>
      <w:outlineLvl w:val="0"/>
    </w:pPr>
    <w:rPr>
      <w:rFonts w:eastAsiaTheme="majorEastAsia" w:cstheme="majorBidi"/>
      <w:b/>
      <w:bCs/>
      <w:color w:val="000000" w:themeColor="text1"/>
      <w:szCs w:val="32"/>
    </w:rPr>
  </w:style>
  <w:style w:type="paragraph" w:styleId="Heading2">
    <w:name w:val="heading 2"/>
    <w:basedOn w:val="Normal"/>
    <w:next w:val="Normal"/>
    <w:link w:val="Heading2Char"/>
    <w:uiPriority w:val="9"/>
    <w:unhideWhenUsed/>
    <w:qFormat/>
    <w:rsid w:val="00E3488F"/>
    <w:pPr>
      <w:keepNext/>
      <w:keepLines/>
      <w:spacing w:before="200" w:after="24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AE4BF8"/>
    <w:pPr>
      <w:keepNext/>
      <w:keepLines/>
      <w:spacing w:before="200" w:after="240"/>
      <w:outlineLvl w:val="2"/>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64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644A"/>
    <w:rPr>
      <w:rFonts w:ascii="Lucida Grande" w:hAnsi="Lucida Grande" w:cs="Lucida Grande"/>
      <w:sz w:val="18"/>
      <w:szCs w:val="18"/>
      <w:lang w:val="en-GB"/>
    </w:rPr>
  </w:style>
  <w:style w:type="character" w:customStyle="1" w:styleId="Heading1Char">
    <w:name w:val="Heading 1 Char"/>
    <w:basedOn w:val="DefaultParagraphFont"/>
    <w:link w:val="Heading1"/>
    <w:uiPriority w:val="9"/>
    <w:rsid w:val="00E3488F"/>
    <w:rPr>
      <w:rFonts w:ascii="Arial" w:eastAsiaTheme="majorEastAsia" w:hAnsi="Arial" w:cstheme="majorBidi"/>
      <w:b/>
      <w:bCs/>
      <w:color w:val="000000" w:themeColor="text1"/>
      <w:szCs w:val="32"/>
      <w:lang w:val="en-GB"/>
    </w:rPr>
  </w:style>
  <w:style w:type="paragraph" w:styleId="DocumentMap">
    <w:name w:val="Document Map"/>
    <w:basedOn w:val="Normal"/>
    <w:link w:val="DocumentMapChar"/>
    <w:uiPriority w:val="99"/>
    <w:semiHidden/>
    <w:unhideWhenUsed/>
    <w:rsid w:val="00B5479C"/>
    <w:rPr>
      <w:rFonts w:ascii="Lucida Grande" w:hAnsi="Lucida Grande" w:cs="Lucida Grande"/>
    </w:rPr>
  </w:style>
  <w:style w:type="character" w:customStyle="1" w:styleId="DocumentMapChar">
    <w:name w:val="Document Map Char"/>
    <w:basedOn w:val="DefaultParagraphFont"/>
    <w:link w:val="DocumentMap"/>
    <w:uiPriority w:val="99"/>
    <w:semiHidden/>
    <w:rsid w:val="00B5479C"/>
    <w:rPr>
      <w:rFonts w:ascii="Lucida Grande" w:hAnsi="Lucida Grande" w:cs="Lucida Grande"/>
      <w:lang w:val="en-GB"/>
    </w:rPr>
  </w:style>
  <w:style w:type="character" w:styleId="Hyperlink">
    <w:name w:val="Hyperlink"/>
    <w:basedOn w:val="DefaultParagraphFont"/>
    <w:uiPriority w:val="99"/>
    <w:unhideWhenUsed/>
    <w:rsid w:val="009F09BA"/>
    <w:rPr>
      <w:color w:val="0000FF" w:themeColor="hyperlink"/>
      <w:u w:val="single"/>
    </w:rPr>
  </w:style>
  <w:style w:type="paragraph" w:styleId="ListParagraph">
    <w:name w:val="List Paragraph"/>
    <w:basedOn w:val="Normal"/>
    <w:uiPriority w:val="34"/>
    <w:qFormat/>
    <w:rsid w:val="003A544A"/>
    <w:pPr>
      <w:ind w:left="794"/>
      <w:contextualSpacing/>
    </w:pPr>
  </w:style>
  <w:style w:type="character" w:customStyle="1" w:styleId="Heading2Char">
    <w:name w:val="Heading 2 Char"/>
    <w:basedOn w:val="DefaultParagraphFont"/>
    <w:link w:val="Heading2"/>
    <w:uiPriority w:val="9"/>
    <w:rsid w:val="00E3488F"/>
    <w:rPr>
      <w:rFonts w:ascii="Arial" w:eastAsiaTheme="majorEastAsia" w:hAnsi="Arial" w:cstheme="majorBidi"/>
      <w:b/>
      <w:bCs/>
      <w:color w:val="000000" w:themeColor="text1"/>
      <w:szCs w:val="26"/>
      <w:lang w:val="en-GB"/>
    </w:rPr>
  </w:style>
  <w:style w:type="paragraph" w:styleId="Footer">
    <w:name w:val="footer"/>
    <w:basedOn w:val="Normal"/>
    <w:link w:val="FooterChar"/>
    <w:uiPriority w:val="99"/>
    <w:unhideWhenUsed/>
    <w:rsid w:val="00064529"/>
    <w:pPr>
      <w:tabs>
        <w:tab w:val="center" w:pos="4320"/>
        <w:tab w:val="right" w:pos="8640"/>
      </w:tabs>
    </w:pPr>
  </w:style>
  <w:style w:type="character" w:customStyle="1" w:styleId="FooterChar">
    <w:name w:val="Footer Char"/>
    <w:basedOn w:val="DefaultParagraphFont"/>
    <w:link w:val="Footer"/>
    <w:uiPriority w:val="99"/>
    <w:rsid w:val="00064529"/>
    <w:rPr>
      <w:rFonts w:ascii="Arial" w:hAnsi="Arial"/>
      <w:lang w:val="en-GB"/>
    </w:rPr>
  </w:style>
  <w:style w:type="character" w:styleId="PageNumber">
    <w:name w:val="page number"/>
    <w:basedOn w:val="DefaultParagraphFont"/>
    <w:uiPriority w:val="99"/>
    <w:semiHidden/>
    <w:unhideWhenUsed/>
    <w:rsid w:val="00064529"/>
  </w:style>
  <w:style w:type="paragraph" w:styleId="Header">
    <w:name w:val="header"/>
    <w:basedOn w:val="Normal"/>
    <w:link w:val="HeaderChar"/>
    <w:uiPriority w:val="99"/>
    <w:unhideWhenUsed/>
    <w:rsid w:val="00064529"/>
    <w:pPr>
      <w:tabs>
        <w:tab w:val="center" w:pos="4320"/>
        <w:tab w:val="right" w:pos="8640"/>
      </w:tabs>
    </w:pPr>
  </w:style>
  <w:style w:type="character" w:customStyle="1" w:styleId="HeaderChar">
    <w:name w:val="Header Char"/>
    <w:basedOn w:val="DefaultParagraphFont"/>
    <w:link w:val="Header"/>
    <w:uiPriority w:val="99"/>
    <w:rsid w:val="00064529"/>
    <w:rPr>
      <w:rFonts w:ascii="Arial" w:hAnsi="Arial"/>
      <w:lang w:val="en-GB"/>
    </w:rPr>
  </w:style>
  <w:style w:type="character" w:customStyle="1" w:styleId="Heading3Char">
    <w:name w:val="Heading 3 Char"/>
    <w:basedOn w:val="DefaultParagraphFont"/>
    <w:link w:val="Heading3"/>
    <w:uiPriority w:val="9"/>
    <w:rsid w:val="00AE4BF8"/>
    <w:rPr>
      <w:rFonts w:ascii="Arial" w:eastAsiaTheme="majorEastAsia" w:hAnsi="Arial" w:cstheme="majorBidi"/>
      <w:i/>
      <w:iCs/>
      <w:color w:val="000000" w:themeColor="text1"/>
      <w:lang w:val="en-GB"/>
    </w:rPr>
  </w:style>
  <w:style w:type="table" w:styleId="TableGrid">
    <w:name w:val="Table Grid"/>
    <w:basedOn w:val="TableNormal"/>
    <w:uiPriority w:val="59"/>
    <w:rsid w:val="00110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5016D"/>
    <w:rPr>
      <w:color w:val="605E5C"/>
      <w:shd w:val="clear" w:color="auto" w:fill="E1DFDD"/>
    </w:rPr>
  </w:style>
  <w:style w:type="character" w:styleId="CommentReference">
    <w:name w:val="annotation reference"/>
    <w:basedOn w:val="DefaultParagraphFont"/>
    <w:uiPriority w:val="99"/>
    <w:semiHidden/>
    <w:unhideWhenUsed/>
    <w:rsid w:val="002A7630"/>
    <w:rPr>
      <w:sz w:val="16"/>
      <w:szCs w:val="16"/>
    </w:rPr>
  </w:style>
  <w:style w:type="paragraph" w:styleId="CommentText">
    <w:name w:val="annotation text"/>
    <w:basedOn w:val="Normal"/>
    <w:link w:val="CommentTextChar"/>
    <w:uiPriority w:val="99"/>
    <w:semiHidden/>
    <w:unhideWhenUsed/>
    <w:rsid w:val="002A7630"/>
    <w:rPr>
      <w:sz w:val="20"/>
      <w:szCs w:val="20"/>
    </w:rPr>
  </w:style>
  <w:style w:type="character" w:customStyle="1" w:styleId="CommentTextChar">
    <w:name w:val="Comment Text Char"/>
    <w:basedOn w:val="DefaultParagraphFont"/>
    <w:link w:val="CommentText"/>
    <w:uiPriority w:val="99"/>
    <w:semiHidden/>
    <w:rsid w:val="002A7630"/>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7630"/>
    <w:rPr>
      <w:b/>
      <w:bCs/>
    </w:rPr>
  </w:style>
  <w:style w:type="character" w:customStyle="1" w:styleId="CommentSubjectChar">
    <w:name w:val="Comment Subject Char"/>
    <w:basedOn w:val="CommentTextChar"/>
    <w:link w:val="CommentSubject"/>
    <w:uiPriority w:val="99"/>
    <w:semiHidden/>
    <w:rsid w:val="002A7630"/>
    <w:rPr>
      <w:rFonts w:ascii="Arial" w:hAnsi="Arial"/>
      <w:b/>
      <w:bCs/>
      <w:sz w:val="20"/>
      <w:szCs w:val="20"/>
      <w:lang w:val="en-GB"/>
    </w:rPr>
  </w:style>
  <w:style w:type="paragraph" w:styleId="Revision">
    <w:name w:val="Revision"/>
    <w:hidden/>
    <w:uiPriority w:val="99"/>
    <w:semiHidden/>
    <w:rsid w:val="008E76BA"/>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hopkins@manchester.ac.uk"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1701</Words>
  <Characters>9699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Hopkins</dc:creator>
  <cp:keywords/>
  <dc:description/>
  <cp:lastModifiedBy>James Hopkins</cp:lastModifiedBy>
  <cp:revision>11</cp:revision>
  <cp:lastPrinted>2019-05-08T11:20:00Z</cp:lastPrinted>
  <dcterms:created xsi:type="dcterms:W3CDTF">2019-05-16T13:16:00Z</dcterms:created>
  <dcterms:modified xsi:type="dcterms:W3CDTF">2019-08-06T13:06:00Z</dcterms:modified>
</cp:coreProperties>
</file>