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B219" w14:textId="7B2BE0DD" w:rsidR="00FC302D" w:rsidRPr="00A06729" w:rsidRDefault="006B502E" w:rsidP="00983400">
      <w:pPr>
        <w:spacing w:line="276" w:lineRule="auto"/>
        <w:ind w:left="112" w:right="99"/>
        <w:jc w:val="center"/>
        <w:rPr>
          <w:sz w:val="36"/>
        </w:rPr>
      </w:pPr>
      <w:r>
        <w:rPr>
          <w:color w:val="6C009D"/>
          <w:sz w:val="36"/>
        </w:rPr>
        <w:t xml:space="preserve">FBMH </w:t>
      </w:r>
      <w:r w:rsidR="009B6B14" w:rsidRPr="00A06729">
        <w:rPr>
          <w:color w:val="6C009D"/>
          <w:sz w:val="36"/>
        </w:rPr>
        <w:t>Guidance on Payment M</w:t>
      </w:r>
      <w:r w:rsidR="00935AEE" w:rsidRPr="00A06729">
        <w:rPr>
          <w:color w:val="6C009D"/>
          <w:sz w:val="36"/>
        </w:rPr>
        <w:t xml:space="preserve">ethods for Patient and Public Involvement </w:t>
      </w:r>
      <w:r w:rsidR="009B6B14" w:rsidRPr="00A06729">
        <w:rPr>
          <w:color w:val="6C009D"/>
          <w:sz w:val="36"/>
        </w:rPr>
        <w:t xml:space="preserve">and Engagement </w:t>
      </w:r>
      <w:r w:rsidR="00935AEE" w:rsidRPr="00A06729">
        <w:rPr>
          <w:color w:val="6C009D"/>
          <w:sz w:val="36"/>
        </w:rPr>
        <w:t>(PPI</w:t>
      </w:r>
      <w:r w:rsidR="009B6B14" w:rsidRPr="00A06729">
        <w:rPr>
          <w:color w:val="6C009D"/>
          <w:sz w:val="36"/>
        </w:rPr>
        <w:t>E</w:t>
      </w:r>
      <w:r w:rsidR="00935AEE" w:rsidRPr="00A06729">
        <w:rPr>
          <w:color w:val="6C009D"/>
          <w:sz w:val="36"/>
        </w:rPr>
        <w:t>) and Research Participation</w:t>
      </w:r>
    </w:p>
    <w:p w14:paraId="2C267008" w14:textId="77777777" w:rsidR="00FC302D" w:rsidRPr="00A06729" w:rsidRDefault="00935AEE">
      <w:pPr>
        <w:pStyle w:val="Heading1"/>
        <w:numPr>
          <w:ilvl w:val="0"/>
          <w:numId w:val="7"/>
        </w:numPr>
        <w:tabs>
          <w:tab w:val="left" w:pos="820"/>
          <w:tab w:val="left" w:pos="821"/>
        </w:tabs>
        <w:spacing w:before="200"/>
        <w:ind w:hanging="708"/>
        <w:rPr>
          <w:sz w:val="28"/>
        </w:rPr>
      </w:pPr>
      <w:r w:rsidRPr="00A06729">
        <w:rPr>
          <w:color w:val="6C009D"/>
          <w:sz w:val="28"/>
        </w:rPr>
        <w:t>Purpose</w:t>
      </w:r>
    </w:p>
    <w:p w14:paraId="59A49BA0" w14:textId="77777777" w:rsidR="00FC302D" w:rsidRPr="00A06729" w:rsidRDefault="00FC302D">
      <w:pPr>
        <w:pStyle w:val="BodyText"/>
        <w:spacing w:before="3"/>
        <w:rPr>
          <w:sz w:val="28"/>
        </w:rPr>
      </w:pPr>
    </w:p>
    <w:p w14:paraId="1AF33639" w14:textId="5C025A1F" w:rsidR="00FC302D" w:rsidRPr="00A06729" w:rsidRDefault="00935AEE" w:rsidP="006B502E">
      <w:pPr>
        <w:pStyle w:val="BodyText"/>
        <w:spacing w:before="1" w:line="276" w:lineRule="auto"/>
        <w:ind w:left="112" w:right="-42"/>
        <w:rPr>
          <w:sz w:val="22"/>
        </w:rPr>
      </w:pPr>
      <w:r w:rsidRPr="00A06729">
        <w:rPr>
          <w:sz w:val="22"/>
        </w:rPr>
        <w:t xml:space="preserve">This guidance is designed to provide a clear, consistent </w:t>
      </w:r>
      <w:r w:rsidR="004F75E4">
        <w:rPr>
          <w:sz w:val="22"/>
        </w:rPr>
        <w:t xml:space="preserve">approach to the </w:t>
      </w:r>
      <w:r w:rsidR="006B502E">
        <w:rPr>
          <w:sz w:val="22"/>
        </w:rPr>
        <w:t>p</w:t>
      </w:r>
      <w:r w:rsidRPr="00A06729">
        <w:rPr>
          <w:sz w:val="22"/>
        </w:rPr>
        <w:t xml:space="preserve">ayment of research/teaching volunteers across the </w:t>
      </w:r>
      <w:proofErr w:type="gramStart"/>
      <w:r w:rsidRPr="00A06729">
        <w:rPr>
          <w:sz w:val="22"/>
        </w:rPr>
        <w:t>Faculty</w:t>
      </w:r>
      <w:proofErr w:type="gramEnd"/>
      <w:r w:rsidRPr="00A06729">
        <w:rPr>
          <w:sz w:val="22"/>
        </w:rPr>
        <w:t xml:space="preserve"> for the following activities:</w:t>
      </w:r>
    </w:p>
    <w:p w14:paraId="7F73EE29" w14:textId="77777777" w:rsidR="00FC302D" w:rsidRPr="00A06729" w:rsidRDefault="00FC302D">
      <w:pPr>
        <w:pStyle w:val="BodyText"/>
        <w:spacing w:before="3"/>
        <w:rPr>
          <w:sz w:val="18"/>
        </w:rPr>
      </w:pPr>
    </w:p>
    <w:p w14:paraId="1D84A9B6" w14:textId="77777777" w:rsidR="00FC302D" w:rsidRPr="00A06729" w:rsidRDefault="00935AEE">
      <w:pPr>
        <w:pStyle w:val="ListParagraph"/>
        <w:numPr>
          <w:ilvl w:val="0"/>
          <w:numId w:val="6"/>
        </w:numPr>
        <w:tabs>
          <w:tab w:val="left" w:pos="820"/>
          <w:tab w:val="left" w:pos="821"/>
        </w:tabs>
        <w:ind w:hanging="708"/>
      </w:pPr>
      <w:r w:rsidRPr="00A06729">
        <w:t>Involvement in research and teaching: where members of the public are actively</w:t>
      </w:r>
      <w:r w:rsidRPr="00A06729">
        <w:rPr>
          <w:spacing w:val="-13"/>
        </w:rPr>
        <w:t xml:space="preserve"> </w:t>
      </w:r>
      <w:proofErr w:type="gramStart"/>
      <w:r w:rsidRPr="00A06729">
        <w:t>involved</w:t>
      </w:r>
      <w:proofErr w:type="gramEnd"/>
    </w:p>
    <w:p w14:paraId="056F66B0" w14:textId="77777777" w:rsidR="00FC302D" w:rsidRPr="00A06729" w:rsidRDefault="00935AEE">
      <w:pPr>
        <w:pStyle w:val="ListParagraph"/>
        <w:numPr>
          <w:ilvl w:val="0"/>
          <w:numId w:val="6"/>
        </w:numPr>
        <w:tabs>
          <w:tab w:val="left" w:pos="820"/>
          <w:tab w:val="left" w:pos="821"/>
        </w:tabs>
        <w:spacing w:before="36" w:line="276" w:lineRule="auto"/>
        <w:ind w:right="785" w:hanging="708"/>
      </w:pPr>
      <w:r w:rsidRPr="00A06729">
        <w:t>Participation in research: where people take part in a research study (</w:t>
      </w:r>
      <w:proofErr w:type="gramStart"/>
      <w:r w:rsidRPr="00A06729">
        <w:t>i.e.</w:t>
      </w:r>
      <w:proofErr w:type="gramEnd"/>
      <w:r w:rsidRPr="00A06729">
        <w:t xml:space="preserve"> taking part in tests, submit to measurements or be</w:t>
      </w:r>
      <w:r w:rsidRPr="00A06729">
        <w:rPr>
          <w:spacing w:val="-3"/>
        </w:rPr>
        <w:t xml:space="preserve"> </w:t>
      </w:r>
      <w:r w:rsidRPr="00A06729">
        <w:t>interviewed)</w:t>
      </w:r>
    </w:p>
    <w:p w14:paraId="1DC330ED" w14:textId="77777777" w:rsidR="00FC302D" w:rsidRPr="00A06729" w:rsidRDefault="00FC302D">
      <w:pPr>
        <w:pStyle w:val="BodyText"/>
        <w:spacing w:before="3"/>
        <w:rPr>
          <w:sz w:val="18"/>
        </w:rPr>
      </w:pPr>
    </w:p>
    <w:p w14:paraId="6438B668" w14:textId="65A2514C" w:rsidR="00FC302D" w:rsidRPr="00A06729" w:rsidRDefault="00935AEE" w:rsidP="00983400">
      <w:pPr>
        <w:pStyle w:val="BodyText"/>
        <w:spacing w:line="276" w:lineRule="auto"/>
        <w:ind w:left="112" w:right="886"/>
        <w:rPr>
          <w:sz w:val="22"/>
        </w:rPr>
      </w:pPr>
      <w:r w:rsidRPr="00A06729">
        <w:rPr>
          <w:sz w:val="22"/>
        </w:rPr>
        <w:t xml:space="preserve">Following this guidance will help ensure transparent, timely and appropriate payment. It serves to supplement </w:t>
      </w:r>
      <w:hyperlink r:id="rId7" w:history="1">
        <w:r w:rsidR="00983400" w:rsidRPr="00A06729">
          <w:rPr>
            <w:rStyle w:val="Hyperlink"/>
            <w:sz w:val="22"/>
          </w:rPr>
          <w:t xml:space="preserve">The </w:t>
        </w:r>
        <w:r w:rsidRPr="00A06729">
          <w:rPr>
            <w:rStyle w:val="Hyperlink"/>
            <w:sz w:val="22"/>
          </w:rPr>
          <w:t>University of Manchester (UoM) payment guidance</w:t>
        </w:r>
      </w:hyperlink>
      <w:r w:rsidR="00983400" w:rsidRPr="00A06729">
        <w:rPr>
          <w:i/>
          <w:sz w:val="22"/>
        </w:rPr>
        <w:t xml:space="preserve"> </w:t>
      </w:r>
      <w:r w:rsidRPr="00A06729">
        <w:rPr>
          <w:sz w:val="22"/>
        </w:rPr>
        <w:t>and is aimed at Public Contributors</w:t>
      </w:r>
      <w:r w:rsidRPr="00A06729">
        <w:rPr>
          <w:i/>
          <w:sz w:val="22"/>
          <w:vertAlign w:val="superscript"/>
        </w:rPr>
        <w:t>1</w:t>
      </w:r>
      <w:r w:rsidRPr="00A06729">
        <w:rPr>
          <w:sz w:val="22"/>
        </w:rPr>
        <w:t>, research volunteers/participants and Faculty staff and students.</w:t>
      </w:r>
    </w:p>
    <w:p w14:paraId="51E8B516" w14:textId="77777777" w:rsidR="009B6B14" w:rsidRPr="00A06729" w:rsidRDefault="009B6B14" w:rsidP="009B6B14">
      <w:pPr>
        <w:pStyle w:val="ListParagraph"/>
        <w:numPr>
          <w:ilvl w:val="0"/>
          <w:numId w:val="8"/>
        </w:numPr>
        <w:tabs>
          <w:tab w:val="left" w:pos="10577"/>
        </w:tabs>
        <w:spacing w:before="46"/>
        <w:ind w:right="106"/>
        <w:rPr>
          <w:sz w:val="18"/>
          <w:u w:val="single" w:color="6C009D"/>
        </w:rPr>
      </w:pPr>
      <w:r w:rsidRPr="00A06729">
        <w:rPr>
          <w:sz w:val="18"/>
        </w:rPr>
        <w:t xml:space="preserve">Within the context of this document, Public Contributors </w:t>
      </w:r>
      <w:proofErr w:type="gramStart"/>
      <w:r w:rsidRPr="00A06729">
        <w:rPr>
          <w:sz w:val="18"/>
        </w:rPr>
        <w:t>include:</w:t>
      </w:r>
      <w:proofErr w:type="gramEnd"/>
      <w:r w:rsidRPr="00A06729">
        <w:rPr>
          <w:sz w:val="18"/>
        </w:rPr>
        <w:t xml:space="preserve">  lay representatives, service users, carers, patient representatives, patient experts - members of the public working/engaging with us in a non-professional</w:t>
      </w:r>
      <w:r w:rsidRPr="00A06729">
        <w:rPr>
          <w:spacing w:val="-30"/>
          <w:sz w:val="18"/>
        </w:rPr>
        <w:t xml:space="preserve"> </w:t>
      </w:r>
      <w:r w:rsidRPr="00A06729">
        <w:rPr>
          <w:sz w:val="18"/>
        </w:rPr>
        <w:t>capacity.</w:t>
      </w:r>
    </w:p>
    <w:p w14:paraId="22E96553" w14:textId="77777777" w:rsidR="009B6B14" w:rsidRPr="00A06729" w:rsidRDefault="009B6B14" w:rsidP="00983400">
      <w:pPr>
        <w:pStyle w:val="BodyText"/>
        <w:spacing w:line="276" w:lineRule="auto"/>
        <w:ind w:left="112" w:right="886"/>
        <w:rPr>
          <w:i/>
          <w:sz w:val="22"/>
          <w:u w:val="single"/>
        </w:rPr>
      </w:pPr>
    </w:p>
    <w:p w14:paraId="0A2A8CA6" w14:textId="77777777" w:rsidR="00FC302D" w:rsidRPr="00A06729" w:rsidRDefault="00935AEE">
      <w:pPr>
        <w:pStyle w:val="Heading1"/>
        <w:numPr>
          <w:ilvl w:val="0"/>
          <w:numId w:val="7"/>
        </w:numPr>
        <w:tabs>
          <w:tab w:val="left" w:pos="820"/>
          <w:tab w:val="left" w:pos="821"/>
        </w:tabs>
        <w:spacing w:before="1"/>
        <w:ind w:hanging="708"/>
        <w:rPr>
          <w:sz w:val="28"/>
        </w:rPr>
      </w:pPr>
      <w:r w:rsidRPr="00A06729">
        <w:rPr>
          <w:color w:val="6C009D"/>
          <w:sz w:val="28"/>
        </w:rPr>
        <w:t>Introduction</w:t>
      </w:r>
    </w:p>
    <w:p w14:paraId="1D6261B2" w14:textId="77777777" w:rsidR="00FC302D" w:rsidRPr="00A06729" w:rsidRDefault="00FC302D">
      <w:pPr>
        <w:pStyle w:val="BodyText"/>
        <w:spacing w:before="3"/>
        <w:rPr>
          <w:sz w:val="28"/>
        </w:rPr>
      </w:pPr>
    </w:p>
    <w:p w14:paraId="238A81B4" w14:textId="22243033" w:rsidR="00D02651" w:rsidRPr="00A06729" w:rsidRDefault="00935AEE">
      <w:pPr>
        <w:pStyle w:val="BodyText"/>
        <w:spacing w:line="276" w:lineRule="auto"/>
        <w:ind w:left="112" w:right="668"/>
        <w:jc w:val="both"/>
        <w:rPr>
          <w:sz w:val="22"/>
        </w:rPr>
      </w:pPr>
      <w:r w:rsidRPr="00A06729">
        <w:rPr>
          <w:sz w:val="22"/>
        </w:rPr>
        <w:t>Patient and public involvement</w:t>
      </w:r>
      <w:r w:rsidR="009B6B14" w:rsidRPr="00A06729">
        <w:rPr>
          <w:sz w:val="22"/>
        </w:rPr>
        <w:t xml:space="preserve"> and Engagement</w:t>
      </w:r>
      <w:r w:rsidRPr="00A06729">
        <w:rPr>
          <w:sz w:val="22"/>
        </w:rPr>
        <w:t xml:space="preserve"> (PPI</w:t>
      </w:r>
      <w:r w:rsidR="009B6B14" w:rsidRPr="00A06729">
        <w:rPr>
          <w:sz w:val="22"/>
        </w:rPr>
        <w:t>E</w:t>
      </w:r>
      <w:r w:rsidRPr="00A06729">
        <w:rPr>
          <w:sz w:val="22"/>
        </w:rPr>
        <w:t xml:space="preserve">) in research/teaching and research participation/volunteering play an essential role in the </w:t>
      </w:r>
      <w:proofErr w:type="gramStart"/>
      <w:r w:rsidRPr="00A06729">
        <w:rPr>
          <w:sz w:val="22"/>
        </w:rPr>
        <w:t>Faculty’s</w:t>
      </w:r>
      <w:proofErr w:type="gramEnd"/>
      <w:r w:rsidRPr="00A06729">
        <w:rPr>
          <w:sz w:val="22"/>
        </w:rPr>
        <w:t xml:space="preserve"> work. It is essential that Public Contributors and research volunteers/participants are recognised for their involvement and participation and that the </w:t>
      </w:r>
      <w:proofErr w:type="gramStart"/>
      <w:r w:rsidRPr="00A06729">
        <w:rPr>
          <w:sz w:val="22"/>
        </w:rPr>
        <w:t>Faculty</w:t>
      </w:r>
      <w:proofErr w:type="gramEnd"/>
      <w:r w:rsidRPr="00A06729">
        <w:rPr>
          <w:sz w:val="22"/>
        </w:rPr>
        <w:t xml:space="preserve"> has the infrastructure to support this. </w:t>
      </w:r>
    </w:p>
    <w:p w14:paraId="49713DE4" w14:textId="77777777" w:rsidR="00D02651" w:rsidRPr="00A06729" w:rsidRDefault="00D02651">
      <w:pPr>
        <w:pStyle w:val="BodyText"/>
        <w:spacing w:line="276" w:lineRule="auto"/>
        <w:ind w:left="112" w:right="668"/>
        <w:jc w:val="both"/>
        <w:rPr>
          <w:sz w:val="22"/>
        </w:rPr>
      </w:pPr>
    </w:p>
    <w:p w14:paraId="624AB5A4" w14:textId="77C89CE1" w:rsidR="00FC302D" w:rsidRPr="00A06729" w:rsidRDefault="00935AEE">
      <w:pPr>
        <w:pStyle w:val="BodyText"/>
        <w:spacing w:line="276" w:lineRule="auto"/>
        <w:ind w:left="112" w:right="668"/>
        <w:jc w:val="both"/>
        <w:rPr>
          <w:sz w:val="22"/>
        </w:rPr>
      </w:pPr>
      <w:r w:rsidRPr="00A06729">
        <w:rPr>
          <w:sz w:val="22"/>
        </w:rPr>
        <w:t>PPI</w:t>
      </w:r>
      <w:r w:rsidR="009B6B14" w:rsidRPr="00A06729">
        <w:rPr>
          <w:sz w:val="22"/>
        </w:rPr>
        <w:t>E</w:t>
      </w:r>
      <w:r w:rsidRPr="00A06729">
        <w:rPr>
          <w:sz w:val="22"/>
        </w:rPr>
        <w:t xml:space="preserve"> provides opportunities for unique and invaluable insight</w:t>
      </w:r>
      <w:r w:rsidR="00983400" w:rsidRPr="00A06729">
        <w:rPr>
          <w:sz w:val="22"/>
        </w:rPr>
        <w:t>s into our work. It is part of T</w:t>
      </w:r>
      <w:r w:rsidRPr="00A06729">
        <w:rPr>
          <w:sz w:val="22"/>
        </w:rPr>
        <w:t xml:space="preserve">he University of Manchester’s commitment to Social Responsibility </w:t>
      </w:r>
      <w:r w:rsidR="009B6B14" w:rsidRPr="00A06729">
        <w:rPr>
          <w:sz w:val="22"/>
        </w:rPr>
        <w:t>as part of</w:t>
      </w:r>
      <w:r w:rsidRPr="00A06729">
        <w:rPr>
          <w:sz w:val="22"/>
        </w:rPr>
        <w:t xml:space="preserve"> its Strategic Plan (</w:t>
      </w:r>
      <w:hyperlink r:id="rId8" w:history="1">
        <w:r w:rsidR="009B6B14" w:rsidRPr="00A06729">
          <w:rPr>
            <w:rStyle w:val="Hyperlink"/>
            <w:sz w:val="22"/>
          </w:rPr>
          <w:t>Our Future</w:t>
        </w:r>
      </w:hyperlink>
      <w:r w:rsidRPr="00A06729">
        <w:rPr>
          <w:sz w:val="22"/>
        </w:rPr>
        <w:t xml:space="preserve">). Please refer to the </w:t>
      </w:r>
      <w:r w:rsidR="00BA3808" w:rsidRPr="00A06729">
        <w:rPr>
          <w:sz w:val="22"/>
        </w:rPr>
        <w:t>Social Responsibility and Public Engagement</w:t>
      </w:r>
      <w:r w:rsidRPr="00A06729">
        <w:rPr>
          <w:sz w:val="22"/>
        </w:rPr>
        <w:t xml:space="preserve"> (</w:t>
      </w:r>
      <w:r w:rsidR="00BA3808" w:rsidRPr="00A06729">
        <w:rPr>
          <w:sz w:val="22"/>
        </w:rPr>
        <w:t>SRPE</w:t>
      </w:r>
      <w:r w:rsidRPr="00A06729">
        <w:rPr>
          <w:sz w:val="22"/>
        </w:rPr>
        <w:t xml:space="preserve">)’s </w:t>
      </w:r>
      <w:hyperlink r:id="rId9" w:history="1">
        <w:r w:rsidRPr="00A06729">
          <w:rPr>
            <w:rStyle w:val="Hyperlink"/>
            <w:i/>
            <w:sz w:val="22"/>
          </w:rPr>
          <w:t>webpage</w:t>
        </w:r>
      </w:hyperlink>
      <w:r w:rsidRPr="00A06729">
        <w:rPr>
          <w:i/>
          <w:sz w:val="22"/>
        </w:rPr>
        <w:t xml:space="preserve"> </w:t>
      </w:r>
      <w:r w:rsidRPr="00A06729">
        <w:rPr>
          <w:sz w:val="22"/>
        </w:rPr>
        <w:t>for further information on PPI</w:t>
      </w:r>
      <w:r w:rsidR="009B6B14" w:rsidRPr="00A06729">
        <w:rPr>
          <w:sz w:val="22"/>
        </w:rPr>
        <w:t>E</w:t>
      </w:r>
      <w:r w:rsidRPr="00A06729">
        <w:rPr>
          <w:sz w:val="22"/>
        </w:rPr>
        <w:t>.</w:t>
      </w:r>
    </w:p>
    <w:p w14:paraId="67273575" w14:textId="77777777" w:rsidR="00BA3808" w:rsidRPr="00A06729" w:rsidRDefault="00BA3808">
      <w:pPr>
        <w:pStyle w:val="BodyText"/>
        <w:spacing w:line="276" w:lineRule="auto"/>
        <w:ind w:left="112" w:right="668"/>
        <w:jc w:val="both"/>
        <w:rPr>
          <w:sz w:val="22"/>
        </w:rPr>
      </w:pPr>
    </w:p>
    <w:p w14:paraId="663AC462" w14:textId="5D02C416" w:rsidR="00FC302D" w:rsidRPr="00A06729" w:rsidRDefault="00935AEE" w:rsidP="00717E42">
      <w:pPr>
        <w:pStyle w:val="BodyText"/>
        <w:spacing w:before="2" w:line="276" w:lineRule="auto"/>
        <w:ind w:left="112" w:right="-42"/>
        <w:rPr>
          <w:sz w:val="22"/>
        </w:rPr>
      </w:pPr>
      <w:r w:rsidRPr="00A06729">
        <w:rPr>
          <w:sz w:val="22"/>
        </w:rPr>
        <w:t>Research participation</w:t>
      </w:r>
      <w:r w:rsidR="00D02651" w:rsidRPr="00A06729">
        <w:rPr>
          <w:sz w:val="22"/>
        </w:rPr>
        <w:t xml:space="preserve"> i</w:t>
      </w:r>
      <w:r w:rsidRPr="00A06729">
        <w:rPr>
          <w:sz w:val="22"/>
        </w:rPr>
        <w:t xml:space="preserve">s essential to much of the </w:t>
      </w:r>
      <w:proofErr w:type="gramStart"/>
      <w:r w:rsidRPr="00A06729">
        <w:rPr>
          <w:sz w:val="22"/>
        </w:rPr>
        <w:t>Faculty’s</w:t>
      </w:r>
      <w:proofErr w:type="gramEnd"/>
      <w:r w:rsidRPr="00A06729">
        <w:rPr>
          <w:sz w:val="22"/>
        </w:rPr>
        <w:t xml:space="preserve"> research, enabling development of discoveries in Biology, Medicine and Health for the greater good.</w:t>
      </w:r>
    </w:p>
    <w:p w14:paraId="71DB115E" w14:textId="77777777" w:rsidR="005F5102" w:rsidRPr="00A06729" w:rsidRDefault="005F5102" w:rsidP="00717E42">
      <w:pPr>
        <w:pStyle w:val="BodyText"/>
        <w:spacing w:before="2" w:line="276" w:lineRule="auto"/>
        <w:ind w:left="112" w:right="-42"/>
        <w:rPr>
          <w:sz w:val="22"/>
        </w:rPr>
      </w:pPr>
    </w:p>
    <w:p w14:paraId="50F21A91" w14:textId="369F95A8" w:rsidR="006B502E" w:rsidRPr="006B502E" w:rsidRDefault="00896BF7" w:rsidP="006B502E">
      <w:pPr>
        <w:pStyle w:val="BodyText"/>
        <w:spacing w:before="2" w:line="276" w:lineRule="auto"/>
        <w:ind w:left="112" w:right="-42"/>
      </w:pPr>
      <w:proofErr w:type="spellStart"/>
      <w:r w:rsidRPr="00896BF7">
        <w:rPr>
          <w:b/>
          <w:sz w:val="22"/>
        </w:rPr>
        <w:t>Non payments</w:t>
      </w:r>
      <w:proofErr w:type="spellEnd"/>
      <w:r w:rsidR="00E11972">
        <w:rPr>
          <w:b/>
          <w:sz w:val="22"/>
        </w:rPr>
        <w:t xml:space="preserve">: </w:t>
      </w:r>
      <w:r w:rsidR="005F5102" w:rsidRPr="00A06729">
        <w:rPr>
          <w:sz w:val="22"/>
        </w:rPr>
        <w:t>There are however times when payment cannot be given</w:t>
      </w:r>
      <w:r w:rsidR="00D01E42" w:rsidRPr="00A06729">
        <w:rPr>
          <w:sz w:val="22"/>
        </w:rPr>
        <w:t xml:space="preserve"> due to the nature of the involvement or engagement</w:t>
      </w:r>
      <w:r w:rsidR="006B502E">
        <w:rPr>
          <w:sz w:val="22"/>
        </w:rPr>
        <w:t xml:space="preserve">. </w:t>
      </w:r>
      <w:r w:rsidR="006B502E" w:rsidRPr="006B502E">
        <w:rPr>
          <w:sz w:val="22"/>
          <w:szCs w:val="22"/>
        </w:rPr>
        <w:t xml:space="preserve">This is due to payments being dependent on the grant or budget available. </w:t>
      </w:r>
      <w:r w:rsidR="006B502E" w:rsidRPr="006B502E">
        <w:rPr>
          <w:b/>
          <w:sz w:val="22"/>
          <w:szCs w:val="22"/>
        </w:rPr>
        <w:t>For example:</w:t>
      </w:r>
      <w:r w:rsidR="006B502E" w:rsidRPr="006B502E">
        <w:rPr>
          <w:sz w:val="22"/>
          <w:szCs w:val="22"/>
        </w:rPr>
        <w:t xml:space="preserve"> involvement in a research project prior to the grant application being successful in obtaining funding often involves voluntary involvement without payment for time. Public Contributors can also decline payment if they so wish. </w:t>
      </w:r>
    </w:p>
    <w:p w14:paraId="61A70476" w14:textId="72F20490" w:rsidR="00E11972" w:rsidRDefault="00E11972" w:rsidP="00717E42">
      <w:pPr>
        <w:pStyle w:val="BodyText"/>
        <w:spacing w:before="2" w:line="276" w:lineRule="auto"/>
        <w:ind w:left="112" w:right="-42"/>
        <w:rPr>
          <w:sz w:val="22"/>
        </w:rPr>
      </w:pPr>
    </w:p>
    <w:p w14:paraId="7C363B41" w14:textId="6FD7075F" w:rsidR="005F5102" w:rsidRPr="00E11972" w:rsidRDefault="00E11972" w:rsidP="00717E42">
      <w:pPr>
        <w:pStyle w:val="BodyText"/>
        <w:spacing w:before="2" w:line="276" w:lineRule="auto"/>
        <w:ind w:left="112" w:right="-42"/>
        <w:rPr>
          <w:b/>
          <w:sz w:val="22"/>
        </w:rPr>
      </w:pPr>
      <w:r w:rsidRPr="00E11972">
        <w:rPr>
          <w:b/>
          <w:sz w:val="22"/>
        </w:rPr>
        <w:t xml:space="preserve">Please </w:t>
      </w:r>
      <w:proofErr w:type="gramStart"/>
      <w:r w:rsidRPr="00E11972">
        <w:rPr>
          <w:b/>
          <w:sz w:val="22"/>
        </w:rPr>
        <w:t>note:</w:t>
      </w:r>
      <w:proofErr w:type="gramEnd"/>
      <w:r w:rsidR="00D01E42" w:rsidRPr="00E11972">
        <w:rPr>
          <w:b/>
          <w:sz w:val="22"/>
        </w:rPr>
        <w:t xml:space="preserve"> it is the responsibility of the staff or student running the event</w:t>
      </w:r>
      <w:r w:rsidR="00896BF7" w:rsidRPr="00E11972">
        <w:rPr>
          <w:b/>
          <w:sz w:val="22"/>
        </w:rPr>
        <w:t>/</w:t>
      </w:r>
      <w:r w:rsidR="00D01E42" w:rsidRPr="00E11972">
        <w:rPr>
          <w:b/>
          <w:sz w:val="22"/>
        </w:rPr>
        <w:t>project to be transparent about what can and can’t be claimed</w:t>
      </w:r>
      <w:r w:rsidR="00007360" w:rsidRPr="00E11972">
        <w:rPr>
          <w:b/>
          <w:sz w:val="22"/>
        </w:rPr>
        <w:t xml:space="preserve"> in advance</w:t>
      </w:r>
      <w:r w:rsidR="00D01E42" w:rsidRPr="00E11972">
        <w:rPr>
          <w:b/>
          <w:sz w:val="22"/>
        </w:rPr>
        <w:t xml:space="preserve">.  </w:t>
      </w:r>
    </w:p>
    <w:p w14:paraId="46533F22" w14:textId="77777777" w:rsidR="004F75E4" w:rsidRPr="00A06729" w:rsidRDefault="004F75E4" w:rsidP="00717E42">
      <w:pPr>
        <w:pStyle w:val="BodyText"/>
        <w:spacing w:before="2" w:line="276" w:lineRule="auto"/>
        <w:ind w:left="112" w:right="-42"/>
        <w:rPr>
          <w:sz w:val="22"/>
        </w:rPr>
      </w:pPr>
    </w:p>
    <w:p w14:paraId="778CDF9B" w14:textId="77777777" w:rsidR="00FC302D" w:rsidRPr="00A06729" w:rsidRDefault="00FC302D">
      <w:pPr>
        <w:pStyle w:val="BodyText"/>
        <w:spacing w:before="7"/>
        <w:rPr>
          <w:sz w:val="24"/>
        </w:rPr>
      </w:pPr>
    </w:p>
    <w:p w14:paraId="726B2EBF" w14:textId="78BC62D7" w:rsidR="00FC302D" w:rsidRPr="00A06729" w:rsidRDefault="00935AEE">
      <w:pPr>
        <w:pStyle w:val="Heading1"/>
        <w:numPr>
          <w:ilvl w:val="0"/>
          <w:numId w:val="7"/>
        </w:numPr>
        <w:tabs>
          <w:tab w:val="left" w:pos="820"/>
          <w:tab w:val="left" w:pos="821"/>
        </w:tabs>
        <w:ind w:hanging="708"/>
        <w:rPr>
          <w:sz w:val="28"/>
        </w:rPr>
      </w:pPr>
      <w:r w:rsidRPr="00A06729">
        <w:rPr>
          <w:color w:val="6C009D"/>
          <w:sz w:val="28"/>
        </w:rPr>
        <w:t>Types of Patient and Public Involvement</w:t>
      </w:r>
      <w:r w:rsidR="009B6B14" w:rsidRPr="00A06729">
        <w:rPr>
          <w:color w:val="6C009D"/>
          <w:sz w:val="28"/>
        </w:rPr>
        <w:t xml:space="preserve"> and Engagement</w:t>
      </w:r>
      <w:r w:rsidRPr="00A06729">
        <w:rPr>
          <w:color w:val="6C009D"/>
          <w:spacing w:val="-6"/>
          <w:sz w:val="28"/>
        </w:rPr>
        <w:t xml:space="preserve"> </w:t>
      </w:r>
      <w:r w:rsidRPr="00A06729">
        <w:rPr>
          <w:color w:val="6C009D"/>
          <w:sz w:val="28"/>
        </w:rPr>
        <w:t>(PPI</w:t>
      </w:r>
      <w:r w:rsidR="009B6B14" w:rsidRPr="00A06729">
        <w:rPr>
          <w:color w:val="6C009D"/>
          <w:sz w:val="28"/>
        </w:rPr>
        <w:t>E</w:t>
      </w:r>
      <w:r w:rsidRPr="00A06729">
        <w:rPr>
          <w:color w:val="6C009D"/>
          <w:sz w:val="28"/>
        </w:rPr>
        <w:t>)</w:t>
      </w:r>
    </w:p>
    <w:p w14:paraId="14ED55E4" w14:textId="77777777" w:rsidR="007B1070" w:rsidRPr="00A06729" w:rsidRDefault="007B1070" w:rsidP="007B1070">
      <w:pPr>
        <w:pStyle w:val="Heading1"/>
        <w:tabs>
          <w:tab w:val="left" w:pos="820"/>
          <w:tab w:val="left" w:pos="821"/>
        </w:tabs>
        <w:ind w:firstLine="0"/>
        <w:rPr>
          <w:sz w:val="28"/>
        </w:rPr>
      </w:pPr>
    </w:p>
    <w:p w14:paraId="7004D315" w14:textId="77777777" w:rsidR="00FC302D" w:rsidRPr="00A06729" w:rsidRDefault="00935AEE" w:rsidP="007B1070">
      <w:pPr>
        <w:pStyle w:val="ListParagraph"/>
        <w:numPr>
          <w:ilvl w:val="1"/>
          <w:numId w:val="7"/>
        </w:numPr>
        <w:tabs>
          <w:tab w:val="left" w:pos="820"/>
          <w:tab w:val="left" w:pos="821"/>
        </w:tabs>
        <w:spacing w:before="4"/>
        <w:ind w:hanging="708"/>
        <w:rPr>
          <w:sz w:val="28"/>
        </w:rPr>
      </w:pPr>
      <w:r w:rsidRPr="00A06729">
        <w:rPr>
          <w:color w:val="6C009D"/>
          <w:sz w:val="28"/>
        </w:rPr>
        <w:t>Research</w:t>
      </w:r>
    </w:p>
    <w:p w14:paraId="0422C2DF" w14:textId="7A8D307A" w:rsidR="00FC302D" w:rsidRPr="00A06729" w:rsidRDefault="00935AEE" w:rsidP="0076554C">
      <w:pPr>
        <w:pStyle w:val="ListParagraph"/>
        <w:numPr>
          <w:ilvl w:val="2"/>
          <w:numId w:val="7"/>
        </w:numPr>
        <w:tabs>
          <w:tab w:val="left" w:pos="1134"/>
        </w:tabs>
        <w:spacing w:before="1"/>
        <w:ind w:left="1134" w:hanging="283"/>
      </w:pPr>
      <w:r w:rsidRPr="00A06729">
        <w:t>Overseeing research as a member of a Steering Committee or a Scientific</w:t>
      </w:r>
      <w:r w:rsidR="0076554C">
        <w:t xml:space="preserve"> </w:t>
      </w:r>
      <w:r w:rsidRPr="00A06729">
        <w:t>Advisory</w:t>
      </w:r>
      <w:r w:rsidRPr="00A06729">
        <w:rPr>
          <w:spacing w:val="-16"/>
        </w:rPr>
        <w:t xml:space="preserve"> </w:t>
      </w:r>
      <w:proofErr w:type="gramStart"/>
      <w:r w:rsidRPr="00A06729">
        <w:t>Board;</w:t>
      </w:r>
      <w:proofErr w:type="gramEnd"/>
    </w:p>
    <w:p w14:paraId="449A8A67" w14:textId="77777777" w:rsidR="00FC302D" w:rsidRPr="00A06729" w:rsidRDefault="00935AEE" w:rsidP="0076554C">
      <w:pPr>
        <w:pStyle w:val="ListParagraph"/>
        <w:numPr>
          <w:ilvl w:val="2"/>
          <w:numId w:val="7"/>
        </w:numPr>
        <w:tabs>
          <w:tab w:val="left" w:pos="1134"/>
        </w:tabs>
        <w:spacing w:before="34"/>
        <w:ind w:hanging="708"/>
      </w:pPr>
      <w:r w:rsidRPr="00A06729">
        <w:t>Being part of a Research User Group/Patient Advisory</w:t>
      </w:r>
      <w:r w:rsidRPr="00A06729">
        <w:rPr>
          <w:spacing w:val="-5"/>
        </w:rPr>
        <w:t xml:space="preserve"> </w:t>
      </w:r>
      <w:proofErr w:type="gramStart"/>
      <w:r w:rsidRPr="00A06729">
        <w:t>Group;</w:t>
      </w:r>
      <w:proofErr w:type="gramEnd"/>
    </w:p>
    <w:p w14:paraId="77BC5D64" w14:textId="77777777" w:rsidR="00FC302D" w:rsidRPr="00A06729" w:rsidRDefault="00935AEE" w:rsidP="0076554C">
      <w:pPr>
        <w:pStyle w:val="ListParagraph"/>
        <w:numPr>
          <w:ilvl w:val="2"/>
          <w:numId w:val="7"/>
        </w:numPr>
        <w:tabs>
          <w:tab w:val="left" w:pos="1134"/>
        </w:tabs>
        <w:spacing w:before="36"/>
        <w:ind w:hanging="708"/>
      </w:pPr>
      <w:r w:rsidRPr="00A06729">
        <w:t>Being asked to review grant proposals/research</w:t>
      </w:r>
      <w:r w:rsidRPr="00A06729">
        <w:rPr>
          <w:spacing w:val="-6"/>
        </w:rPr>
        <w:t xml:space="preserve"> </w:t>
      </w:r>
      <w:proofErr w:type="gramStart"/>
      <w:r w:rsidRPr="00A06729">
        <w:t>methodologies;</w:t>
      </w:r>
      <w:proofErr w:type="gramEnd"/>
    </w:p>
    <w:p w14:paraId="1057CC94" w14:textId="77777777" w:rsidR="00FC302D" w:rsidRPr="00A06729" w:rsidRDefault="00935AEE" w:rsidP="0076554C">
      <w:pPr>
        <w:pStyle w:val="ListParagraph"/>
        <w:numPr>
          <w:ilvl w:val="2"/>
          <w:numId w:val="7"/>
        </w:numPr>
        <w:tabs>
          <w:tab w:val="left" w:pos="1134"/>
        </w:tabs>
        <w:spacing w:before="34"/>
        <w:ind w:hanging="708"/>
      </w:pPr>
      <w:r w:rsidRPr="00A06729">
        <w:t>Consultation on grant</w:t>
      </w:r>
      <w:r w:rsidRPr="00A06729">
        <w:rPr>
          <w:spacing w:val="1"/>
        </w:rPr>
        <w:t xml:space="preserve"> </w:t>
      </w:r>
      <w:proofErr w:type="gramStart"/>
      <w:r w:rsidRPr="00A06729">
        <w:t>proposals;</w:t>
      </w:r>
      <w:proofErr w:type="gramEnd"/>
    </w:p>
    <w:p w14:paraId="134FF800" w14:textId="77777777" w:rsidR="00FC302D" w:rsidRPr="00A06729" w:rsidRDefault="00935AEE" w:rsidP="0076554C">
      <w:pPr>
        <w:pStyle w:val="ListParagraph"/>
        <w:numPr>
          <w:ilvl w:val="2"/>
          <w:numId w:val="7"/>
        </w:numPr>
        <w:tabs>
          <w:tab w:val="left" w:pos="1134"/>
        </w:tabs>
        <w:spacing w:before="34" w:line="276" w:lineRule="auto"/>
        <w:ind w:left="1134" w:right="677" w:hanging="283"/>
      </w:pPr>
      <w:r w:rsidRPr="00A06729">
        <w:t>Advising on research documentation (</w:t>
      </w:r>
      <w:proofErr w:type="gramStart"/>
      <w:r w:rsidRPr="00A06729">
        <w:t>e.g.</w:t>
      </w:r>
      <w:proofErr w:type="gramEnd"/>
      <w:r w:rsidRPr="00A06729">
        <w:t xml:space="preserve"> participant information sheets, consent forms, advertising</w:t>
      </w:r>
      <w:r w:rsidRPr="00A06729">
        <w:rPr>
          <w:spacing w:val="-2"/>
        </w:rPr>
        <w:t xml:space="preserve"> </w:t>
      </w:r>
      <w:r w:rsidRPr="00A06729">
        <w:t>material);</w:t>
      </w:r>
    </w:p>
    <w:p w14:paraId="7DE9CE3F" w14:textId="77777777" w:rsidR="00FC302D" w:rsidRPr="00A06729" w:rsidRDefault="00935AEE" w:rsidP="0076554C">
      <w:pPr>
        <w:pStyle w:val="ListParagraph"/>
        <w:numPr>
          <w:ilvl w:val="2"/>
          <w:numId w:val="7"/>
        </w:numPr>
        <w:tabs>
          <w:tab w:val="left" w:pos="1134"/>
        </w:tabs>
        <w:spacing w:line="229" w:lineRule="exact"/>
        <w:ind w:hanging="708"/>
      </w:pPr>
      <w:r w:rsidRPr="00A06729">
        <w:t>Being an active partner in research (a ‘co-researcher’</w:t>
      </w:r>
      <w:proofErr w:type="gramStart"/>
      <w:r w:rsidRPr="00A06729">
        <w:t>);</w:t>
      </w:r>
      <w:proofErr w:type="gramEnd"/>
    </w:p>
    <w:p w14:paraId="1D642AF0" w14:textId="77777777" w:rsidR="00D01E42" w:rsidRPr="00A06729" w:rsidRDefault="00935AEE" w:rsidP="0076554C">
      <w:pPr>
        <w:pStyle w:val="ListParagraph"/>
        <w:numPr>
          <w:ilvl w:val="2"/>
          <w:numId w:val="7"/>
        </w:numPr>
        <w:tabs>
          <w:tab w:val="left" w:pos="1134"/>
        </w:tabs>
        <w:spacing w:before="11"/>
        <w:ind w:hanging="708"/>
        <w:rPr>
          <w:sz w:val="18"/>
        </w:rPr>
      </w:pPr>
      <w:r w:rsidRPr="00A06729">
        <w:t>Being involved in data</w:t>
      </w:r>
      <w:r w:rsidRPr="00A06729">
        <w:rPr>
          <w:spacing w:val="2"/>
        </w:rPr>
        <w:t xml:space="preserve"> </w:t>
      </w:r>
      <w:proofErr w:type="gramStart"/>
      <w:r w:rsidRPr="00A06729">
        <w:t>analysis;</w:t>
      </w:r>
      <w:proofErr w:type="gramEnd"/>
    </w:p>
    <w:p w14:paraId="6140A86E" w14:textId="7D47253D" w:rsidR="00FC302D" w:rsidRPr="00A06729" w:rsidRDefault="00FC302D" w:rsidP="00007360">
      <w:pPr>
        <w:pStyle w:val="ListParagraph"/>
        <w:tabs>
          <w:tab w:val="left" w:pos="1540"/>
          <w:tab w:val="left" w:pos="1541"/>
        </w:tabs>
        <w:spacing w:before="11"/>
        <w:ind w:left="1528" w:firstLine="0"/>
        <w:rPr>
          <w:sz w:val="18"/>
        </w:rPr>
      </w:pPr>
    </w:p>
    <w:p w14:paraId="0F0E7FFB" w14:textId="77777777" w:rsidR="00FC302D" w:rsidRPr="00A06729" w:rsidRDefault="00935AEE" w:rsidP="007B1070">
      <w:pPr>
        <w:pStyle w:val="Heading1"/>
        <w:numPr>
          <w:ilvl w:val="1"/>
          <w:numId w:val="7"/>
        </w:numPr>
        <w:tabs>
          <w:tab w:val="left" w:pos="820"/>
          <w:tab w:val="left" w:pos="821"/>
        </w:tabs>
        <w:spacing w:before="170"/>
        <w:ind w:hanging="708"/>
        <w:rPr>
          <w:i/>
          <w:sz w:val="18"/>
        </w:rPr>
      </w:pPr>
      <w:r w:rsidRPr="00A06729">
        <w:rPr>
          <w:color w:val="6C009D"/>
          <w:sz w:val="28"/>
        </w:rPr>
        <w:t>Teaching and</w:t>
      </w:r>
      <w:r w:rsidRPr="00A06729">
        <w:rPr>
          <w:color w:val="6C009D"/>
          <w:spacing w:val="-8"/>
          <w:sz w:val="28"/>
        </w:rPr>
        <w:t xml:space="preserve"> </w:t>
      </w:r>
      <w:r w:rsidRPr="00A06729">
        <w:rPr>
          <w:color w:val="6C009D"/>
          <w:sz w:val="28"/>
        </w:rPr>
        <w:t>Learning</w:t>
      </w:r>
    </w:p>
    <w:p w14:paraId="3A507FF3" w14:textId="1F23CA9E" w:rsidR="00FC302D" w:rsidRPr="00A06729" w:rsidRDefault="00935AEE" w:rsidP="0076554C">
      <w:pPr>
        <w:pStyle w:val="ListParagraph"/>
        <w:numPr>
          <w:ilvl w:val="2"/>
          <w:numId w:val="7"/>
        </w:numPr>
        <w:tabs>
          <w:tab w:val="left" w:pos="1134"/>
        </w:tabs>
        <w:spacing w:before="93" w:line="256" w:lineRule="auto"/>
        <w:ind w:left="1134" w:right="673" w:hanging="425"/>
      </w:pPr>
      <w:r w:rsidRPr="00A06729">
        <w:t xml:space="preserve">Bringing patient and public experience to learning groups of established professionals or to </w:t>
      </w:r>
      <w:r w:rsidRPr="00A06729">
        <w:rPr>
          <w:spacing w:val="2"/>
        </w:rPr>
        <w:t>in-</w:t>
      </w:r>
      <w:r w:rsidRPr="00A06729">
        <w:t>service</w:t>
      </w:r>
      <w:r w:rsidRPr="00A06729">
        <w:rPr>
          <w:spacing w:val="-2"/>
        </w:rPr>
        <w:t xml:space="preserve"> </w:t>
      </w:r>
      <w:proofErr w:type="gramStart"/>
      <w:r w:rsidRPr="00A06729">
        <w:t>training;</w:t>
      </w:r>
      <w:proofErr w:type="gramEnd"/>
    </w:p>
    <w:p w14:paraId="3D4956DB" w14:textId="77777777" w:rsidR="00FC302D" w:rsidRPr="00A06729" w:rsidRDefault="00935AEE" w:rsidP="0076554C">
      <w:pPr>
        <w:pStyle w:val="ListParagraph"/>
        <w:numPr>
          <w:ilvl w:val="2"/>
          <w:numId w:val="7"/>
        </w:numPr>
        <w:tabs>
          <w:tab w:val="left" w:pos="1134"/>
        </w:tabs>
        <w:spacing w:before="5"/>
        <w:ind w:left="1134" w:hanging="425"/>
      </w:pPr>
      <w:r w:rsidRPr="00A06729">
        <w:t>Advising on course development and learning materials from a patient</w:t>
      </w:r>
      <w:r w:rsidRPr="00A06729">
        <w:rPr>
          <w:spacing w:val="-7"/>
        </w:rPr>
        <w:t xml:space="preserve"> </w:t>
      </w:r>
      <w:r w:rsidRPr="00A06729">
        <w:t>perspective.</w:t>
      </w:r>
    </w:p>
    <w:p w14:paraId="4195F7A2" w14:textId="7B4DF9FE" w:rsidR="00FC302D" w:rsidRPr="00A06729" w:rsidRDefault="00935AEE" w:rsidP="0076554C">
      <w:pPr>
        <w:pStyle w:val="ListParagraph"/>
        <w:numPr>
          <w:ilvl w:val="2"/>
          <w:numId w:val="7"/>
        </w:numPr>
        <w:tabs>
          <w:tab w:val="left" w:pos="1134"/>
        </w:tabs>
        <w:spacing w:before="17" w:line="261" w:lineRule="auto"/>
        <w:ind w:left="1134" w:right="671" w:hanging="425"/>
      </w:pPr>
      <w:r w:rsidRPr="00A06729">
        <w:t>Sharing their stories and experiences with learners in the classroom including professionals/in-service</w:t>
      </w:r>
      <w:r w:rsidRPr="00A06729">
        <w:rPr>
          <w:spacing w:val="-2"/>
        </w:rPr>
        <w:t xml:space="preserve"> </w:t>
      </w:r>
      <w:proofErr w:type="gramStart"/>
      <w:r w:rsidRPr="00A06729">
        <w:t>training;</w:t>
      </w:r>
      <w:proofErr w:type="gramEnd"/>
    </w:p>
    <w:p w14:paraId="3149E728" w14:textId="77777777" w:rsidR="00FC302D" w:rsidRPr="00A06729" w:rsidRDefault="00935AEE" w:rsidP="0076554C">
      <w:pPr>
        <w:pStyle w:val="ListParagraph"/>
        <w:numPr>
          <w:ilvl w:val="2"/>
          <w:numId w:val="7"/>
        </w:numPr>
        <w:tabs>
          <w:tab w:val="left" w:pos="1134"/>
        </w:tabs>
        <w:spacing w:line="256" w:lineRule="auto"/>
        <w:ind w:left="1134" w:right="674" w:hanging="425"/>
      </w:pPr>
      <w:r w:rsidRPr="00A06729">
        <w:t xml:space="preserve">As simulated and/or volunteer patients involved in assessment and feeding back to tutors and </w:t>
      </w:r>
      <w:proofErr w:type="gramStart"/>
      <w:r w:rsidRPr="00A06729">
        <w:t>students;</w:t>
      </w:r>
      <w:proofErr w:type="gramEnd"/>
    </w:p>
    <w:p w14:paraId="7B35B32F" w14:textId="77777777" w:rsidR="00FC302D" w:rsidRPr="00A06729" w:rsidRDefault="00935AEE" w:rsidP="0076554C">
      <w:pPr>
        <w:pStyle w:val="ListParagraph"/>
        <w:numPr>
          <w:ilvl w:val="2"/>
          <w:numId w:val="7"/>
        </w:numPr>
        <w:tabs>
          <w:tab w:val="left" w:pos="1134"/>
        </w:tabs>
        <w:ind w:left="1134" w:hanging="425"/>
      </w:pPr>
      <w:r w:rsidRPr="00A06729">
        <w:t>Leading lectures or co-producing</w:t>
      </w:r>
      <w:r w:rsidRPr="00A06729">
        <w:rPr>
          <w:spacing w:val="-2"/>
        </w:rPr>
        <w:t xml:space="preserve"> </w:t>
      </w:r>
      <w:proofErr w:type="gramStart"/>
      <w:r w:rsidRPr="00A06729">
        <w:t>lectures;</w:t>
      </w:r>
      <w:proofErr w:type="gramEnd"/>
    </w:p>
    <w:p w14:paraId="5628011E" w14:textId="77777777" w:rsidR="00FC302D" w:rsidRPr="00A06729" w:rsidRDefault="00935AEE" w:rsidP="0076554C">
      <w:pPr>
        <w:pStyle w:val="ListParagraph"/>
        <w:numPr>
          <w:ilvl w:val="2"/>
          <w:numId w:val="7"/>
        </w:numPr>
        <w:tabs>
          <w:tab w:val="left" w:pos="1134"/>
        </w:tabs>
        <w:spacing w:before="18"/>
        <w:ind w:left="1134" w:hanging="425"/>
      </w:pPr>
      <w:r w:rsidRPr="00A06729">
        <w:t xml:space="preserve">Peer reviewing academic </w:t>
      </w:r>
      <w:proofErr w:type="gramStart"/>
      <w:r w:rsidRPr="00A06729">
        <w:t>lectures;</w:t>
      </w:r>
      <w:proofErr w:type="gramEnd"/>
    </w:p>
    <w:p w14:paraId="57BFBD3B" w14:textId="77777777" w:rsidR="00FC302D" w:rsidRPr="00A06729" w:rsidRDefault="00935AEE" w:rsidP="0076554C">
      <w:pPr>
        <w:pStyle w:val="ListParagraph"/>
        <w:numPr>
          <w:ilvl w:val="2"/>
          <w:numId w:val="7"/>
        </w:numPr>
        <w:tabs>
          <w:tab w:val="left" w:pos="1134"/>
        </w:tabs>
        <w:spacing w:before="19"/>
        <w:ind w:left="1134" w:hanging="425"/>
      </w:pPr>
      <w:r w:rsidRPr="00A06729">
        <w:t>As teachers/assessors/evaluators of student clinical</w:t>
      </w:r>
      <w:r w:rsidRPr="00A06729">
        <w:rPr>
          <w:spacing w:val="-3"/>
        </w:rPr>
        <w:t xml:space="preserve"> </w:t>
      </w:r>
      <w:proofErr w:type="gramStart"/>
      <w:r w:rsidRPr="00A06729">
        <w:t>skills;</w:t>
      </w:r>
      <w:proofErr w:type="gramEnd"/>
    </w:p>
    <w:p w14:paraId="71CB5866" w14:textId="77777777" w:rsidR="00FC302D" w:rsidRPr="00A06729" w:rsidRDefault="00935AEE" w:rsidP="0076554C">
      <w:pPr>
        <w:pStyle w:val="ListParagraph"/>
        <w:numPr>
          <w:ilvl w:val="2"/>
          <w:numId w:val="7"/>
        </w:numPr>
        <w:tabs>
          <w:tab w:val="left" w:pos="1134"/>
        </w:tabs>
        <w:spacing w:before="18" w:line="256" w:lineRule="auto"/>
        <w:ind w:left="1134" w:right="673" w:hanging="425"/>
      </w:pPr>
      <w:r w:rsidRPr="00A06729">
        <w:t>As equal partners in student education, assessment and curriculum development (</w:t>
      </w:r>
      <w:proofErr w:type="gramStart"/>
      <w:r w:rsidRPr="00A06729">
        <w:t>e.g.</w:t>
      </w:r>
      <w:proofErr w:type="gramEnd"/>
      <w:r w:rsidRPr="00A06729">
        <w:t xml:space="preserve"> patient educators collaborate in setting curriculum objectives, assessment</w:t>
      </w:r>
      <w:r w:rsidRPr="00A06729">
        <w:rPr>
          <w:spacing w:val="-1"/>
        </w:rPr>
        <w:t xml:space="preserve"> </w:t>
      </w:r>
      <w:r w:rsidRPr="00A06729">
        <w:t>criteria);</w:t>
      </w:r>
    </w:p>
    <w:p w14:paraId="210B2456" w14:textId="0C7994ED" w:rsidR="00FC302D" w:rsidRPr="00A06729" w:rsidRDefault="00935AEE">
      <w:pPr>
        <w:pStyle w:val="BodyText"/>
        <w:spacing w:before="165" w:line="276" w:lineRule="auto"/>
        <w:ind w:left="112" w:right="674"/>
        <w:rPr>
          <w:sz w:val="22"/>
        </w:rPr>
      </w:pPr>
      <w:r w:rsidRPr="00A06729">
        <w:rPr>
          <w:sz w:val="22"/>
        </w:rPr>
        <w:t xml:space="preserve">The </w:t>
      </w:r>
      <w:r w:rsidRPr="00A06729">
        <w:rPr>
          <w:b/>
          <w:color w:val="6F2F9F"/>
          <w:sz w:val="22"/>
        </w:rPr>
        <w:t xml:space="preserve">nature </w:t>
      </w:r>
      <w:r w:rsidRPr="00A06729">
        <w:rPr>
          <w:sz w:val="22"/>
        </w:rPr>
        <w:t>of the activity listed above determines the payment method (</w:t>
      </w:r>
      <w:proofErr w:type="gramStart"/>
      <w:r w:rsidRPr="00A06729">
        <w:rPr>
          <w:sz w:val="22"/>
        </w:rPr>
        <w:t>i.e.</w:t>
      </w:r>
      <w:proofErr w:type="gramEnd"/>
      <w:r w:rsidRPr="00A06729">
        <w:rPr>
          <w:sz w:val="22"/>
        </w:rPr>
        <w:t xml:space="preserve"> whether people are considered to be </w:t>
      </w:r>
      <w:r w:rsidR="0076554C">
        <w:rPr>
          <w:sz w:val="22"/>
        </w:rPr>
        <w:t>“</w:t>
      </w:r>
      <w:r w:rsidRPr="00A06729">
        <w:rPr>
          <w:sz w:val="22"/>
        </w:rPr>
        <w:t>workers</w:t>
      </w:r>
      <w:r w:rsidR="0076554C">
        <w:rPr>
          <w:sz w:val="22"/>
        </w:rPr>
        <w:t>”</w:t>
      </w:r>
      <w:r w:rsidRPr="00A06729">
        <w:rPr>
          <w:sz w:val="22"/>
        </w:rPr>
        <w:t xml:space="preserve">). For example, advising to inform the research process does not fall within the definition of earnings and payment would be via cash advance/vouchers or PR20 form, whereas a co-researcher would be paid as casual staff (via </w:t>
      </w:r>
      <w:proofErr w:type="gramStart"/>
      <w:r w:rsidRPr="00A06729">
        <w:rPr>
          <w:sz w:val="22"/>
        </w:rPr>
        <w:t>University</w:t>
      </w:r>
      <w:proofErr w:type="gramEnd"/>
      <w:r w:rsidRPr="00A06729">
        <w:rPr>
          <w:sz w:val="22"/>
        </w:rPr>
        <w:t xml:space="preserve"> payroll).</w:t>
      </w:r>
    </w:p>
    <w:p w14:paraId="437DC4A5" w14:textId="77777777" w:rsidR="00FC302D" w:rsidRPr="00A06729" w:rsidRDefault="00FC302D">
      <w:pPr>
        <w:pStyle w:val="BodyText"/>
        <w:spacing w:before="7"/>
        <w:rPr>
          <w:sz w:val="18"/>
        </w:rPr>
      </w:pPr>
    </w:p>
    <w:p w14:paraId="4AEDB9C5" w14:textId="1A61AD17" w:rsidR="00FC302D" w:rsidRPr="00A06729" w:rsidRDefault="00935AEE">
      <w:pPr>
        <w:pStyle w:val="BodyText"/>
        <w:spacing w:line="276" w:lineRule="auto"/>
        <w:ind w:left="112" w:right="676"/>
        <w:rPr>
          <w:sz w:val="22"/>
        </w:rPr>
      </w:pPr>
      <w:proofErr w:type="gramStart"/>
      <w:r w:rsidRPr="00A06729">
        <w:rPr>
          <w:sz w:val="22"/>
        </w:rPr>
        <w:t>As a general guide, activities</w:t>
      </w:r>
      <w:proofErr w:type="gramEnd"/>
      <w:r w:rsidRPr="00A06729">
        <w:rPr>
          <w:sz w:val="22"/>
        </w:rPr>
        <w:t xml:space="preserve"> indicated above in 3a</w:t>
      </w:r>
      <w:r w:rsidR="000927A5" w:rsidRPr="00A06729">
        <w:rPr>
          <w:sz w:val="22"/>
        </w:rPr>
        <w:t xml:space="preserve"> </w:t>
      </w:r>
      <w:r w:rsidRPr="00A06729">
        <w:rPr>
          <w:sz w:val="22"/>
        </w:rPr>
        <w:t>(1-5) and 3b</w:t>
      </w:r>
      <w:r w:rsidR="000927A5" w:rsidRPr="00A06729">
        <w:rPr>
          <w:sz w:val="22"/>
        </w:rPr>
        <w:t xml:space="preserve"> </w:t>
      </w:r>
      <w:r w:rsidRPr="00A06729">
        <w:rPr>
          <w:sz w:val="22"/>
        </w:rPr>
        <w:t>(1-3) would not be defined as earnings whilst 3a</w:t>
      </w:r>
      <w:r w:rsidR="000927A5" w:rsidRPr="00A06729">
        <w:rPr>
          <w:sz w:val="22"/>
        </w:rPr>
        <w:t xml:space="preserve"> </w:t>
      </w:r>
      <w:r w:rsidRPr="00A06729">
        <w:rPr>
          <w:sz w:val="22"/>
        </w:rPr>
        <w:t>(6-7) and 3b</w:t>
      </w:r>
      <w:r w:rsidR="000927A5" w:rsidRPr="00A06729">
        <w:rPr>
          <w:sz w:val="22"/>
        </w:rPr>
        <w:t xml:space="preserve"> </w:t>
      </w:r>
      <w:r w:rsidRPr="00A06729">
        <w:rPr>
          <w:sz w:val="22"/>
        </w:rPr>
        <w:t>(4-8) would be defined as earnings and would be paid as casual staff.</w:t>
      </w:r>
    </w:p>
    <w:p w14:paraId="1CFC8D84" w14:textId="72C84162" w:rsidR="00FC302D" w:rsidRPr="00A06729" w:rsidRDefault="00935AEE">
      <w:pPr>
        <w:pStyle w:val="BodyText"/>
        <w:spacing w:before="196"/>
        <w:ind w:left="112"/>
        <w:rPr>
          <w:sz w:val="22"/>
        </w:rPr>
      </w:pPr>
      <w:r w:rsidRPr="00A06729">
        <w:rPr>
          <w:b/>
          <w:color w:val="6F2F9F"/>
          <w:sz w:val="22"/>
        </w:rPr>
        <w:t xml:space="preserve">Note: </w:t>
      </w:r>
      <w:r w:rsidRPr="00A06729">
        <w:rPr>
          <w:sz w:val="22"/>
        </w:rPr>
        <w:t xml:space="preserve">Please consult your </w:t>
      </w:r>
      <w:r w:rsidR="0076554C">
        <w:rPr>
          <w:sz w:val="22"/>
        </w:rPr>
        <w:t>P&amp;OD</w:t>
      </w:r>
      <w:r w:rsidRPr="00A06729">
        <w:rPr>
          <w:sz w:val="22"/>
        </w:rPr>
        <w:t xml:space="preserve"> partner to assess employment status.</w:t>
      </w:r>
    </w:p>
    <w:p w14:paraId="1FCDB75A" w14:textId="77777777" w:rsidR="007C3567" w:rsidRPr="00A06729" w:rsidRDefault="007C3567" w:rsidP="007C3567">
      <w:pPr>
        <w:spacing w:before="1" w:line="276" w:lineRule="auto"/>
        <w:ind w:left="820" w:right="886"/>
        <w:rPr>
          <w:b/>
          <w:i/>
          <w:color w:val="6F2F9F"/>
        </w:rPr>
      </w:pPr>
    </w:p>
    <w:p w14:paraId="31FFCC97" w14:textId="77777777" w:rsidR="007C3567" w:rsidRPr="00A06729" w:rsidRDefault="007C3567" w:rsidP="000927A5">
      <w:pPr>
        <w:spacing w:before="1" w:line="276" w:lineRule="auto"/>
        <w:ind w:right="886"/>
        <w:jc w:val="center"/>
        <w:rPr>
          <w:b/>
        </w:rPr>
      </w:pPr>
      <w:r w:rsidRPr="00A06729">
        <w:rPr>
          <w:b/>
          <w:i/>
          <w:color w:val="6F2F9F"/>
        </w:rPr>
        <w:t xml:space="preserve">As a guide, the </w:t>
      </w:r>
      <w:proofErr w:type="gramStart"/>
      <w:r w:rsidRPr="00A06729">
        <w:rPr>
          <w:b/>
          <w:i/>
          <w:color w:val="6F2F9F"/>
        </w:rPr>
        <w:t>Faculty</w:t>
      </w:r>
      <w:proofErr w:type="gramEnd"/>
      <w:r w:rsidRPr="00A06729">
        <w:rPr>
          <w:b/>
          <w:i/>
          <w:color w:val="6F2F9F"/>
        </w:rPr>
        <w:t xml:space="preserve"> would consider up to a total of £1500 per University financial year (excluding travel and subsistence) as reasonable</w:t>
      </w:r>
      <w:r w:rsidRPr="00A06729">
        <w:rPr>
          <w:b/>
          <w:color w:val="6F2F9F"/>
        </w:rPr>
        <w:t>.</w:t>
      </w:r>
    </w:p>
    <w:p w14:paraId="3D588EFA" w14:textId="77777777" w:rsidR="00FC302D" w:rsidRPr="00A06729" w:rsidRDefault="00FC302D">
      <w:pPr>
        <w:pStyle w:val="BodyText"/>
        <w:rPr>
          <w:sz w:val="24"/>
        </w:rPr>
      </w:pPr>
    </w:p>
    <w:p w14:paraId="0971E9A9" w14:textId="1C11ED84" w:rsidR="00FC302D" w:rsidRPr="00A06729" w:rsidRDefault="00935AEE">
      <w:pPr>
        <w:pStyle w:val="Heading1"/>
        <w:numPr>
          <w:ilvl w:val="0"/>
          <w:numId w:val="5"/>
        </w:numPr>
        <w:tabs>
          <w:tab w:val="left" w:pos="820"/>
          <w:tab w:val="left" w:pos="821"/>
        </w:tabs>
        <w:ind w:hanging="708"/>
        <w:rPr>
          <w:sz w:val="28"/>
        </w:rPr>
      </w:pPr>
      <w:r w:rsidRPr="00A06729">
        <w:rPr>
          <w:color w:val="6C009D"/>
          <w:sz w:val="28"/>
        </w:rPr>
        <w:t>Research</w:t>
      </w:r>
      <w:r w:rsidRPr="00A06729">
        <w:rPr>
          <w:color w:val="6C009D"/>
          <w:spacing w:val="-3"/>
          <w:sz w:val="28"/>
        </w:rPr>
        <w:t xml:space="preserve"> </w:t>
      </w:r>
      <w:r w:rsidR="004D43DE">
        <w:rPr>
          <w:color w:val="6C009D"/>
          <w:sz w:val="28"/>
        </w:rPr>
        <w:t>P</w:t>
      </w:r>
      <w:r w:rsidRPr="00A06729">
        <w:rPr>
          <w:color w:val="6C009D"/>
          <w:sz w:val="28"/>
        </w:rPr>
        <w:t>articipation</w:t>
      </w:r>
    </w:p>
    <w:p w14:paraId="721DADE4" w14:textId="77777777" w:rsidR="00FC302D" w:rsidRPr="00A06729" w:rsidRDefault="00FC302D">
      <w:pPr>
        <w:pStyle w:val="BodyText"/>
        <w:spacing w:before="3"/>
        <w:rPr>
          <w:sz w:val="28"/>
        </w:rPr>
      </w:pPr>
    </w:p>
    <w:p w14:paraId="77A4F830" w14:textId="05F0B213" w:rsidR="00BA3808" w:rsidRPr="00A06729" w:rsidRDefault="00935AEE">
      <w:pPr>
        <w:pStyle w:val="BodyText"/>
        <w:spacing w:line="276" w:lineRule="auto"/>
        <w:ind w:left="112" w:right="704"/>
        <w:rPr>
          <w:sz w:val="22"/>
        </w:rPr>
      </w:pPr>
      <w:r w:rsidRPr="00A06729">
        <w:rPr>
          <w:sz w:val="22"/>
        </w:rPr>
        <w:t xml:space="preserve">Research participation/volunteering is where, </w:t>
      </w:r>
      <w:proofErr w:type="gramStart"/>
      <w:r w:rsidRPr="00A06729">
        <w:rPr>
          <w:sz w:val="22"/>
        </w:rPr>
        <w:t>in the course of</w:t>
      </w:r>
      <w:proofErr w:type="gramEnd"/>
      <w:r w:rsidRPr="00A06729">
        <w:rPr>
          <w:sz w:val="22"/>
        </w:rPr>
        <w:t xml:space="preserve"> undertaking research, volunteers are invited to participate in research projects (‘research participants’). </w:t>
      </w:r>
      <w:r w:rsidRPr="00A06729">
        <w:rPr>
          <w:sz w:val="22"/>
        </w:rPr>
        <w:lastRenderedPageBreak/>
        <w:t xml:space="preserve">Volunteers are usually members of the </w:t>
      </w:r>
      <w:proofErr w:type="gramStart"/>
      <w:r w:rsidRPr="00A06729">
        <w:rPr>
          <w:sz w:val="22"/>
        </w:rPr>
        <w:t>public,</w:t>
      </w:r>
      <w:proofErr w:type="gramEnd"/>
      <w:r w:rsidRPr="00A06729">
        <w:rPr>
          <w:sz w:val="22"/>
        </w:rPr>
        <w:t xml:space="preserve"> however some may be staff.</w:t>
      </w:r>
      <w:r w:rsidR="0076554C">
        <w:rPr>
          <w:sz w:val="22"/>
        </w:rPr>
        <w:t xml:space="preserve"> </w:t>
      </w:r>
      <w:r w:rsidRPr="00A06729">
        <w:rPr>
          <w:sz w:val="22"/>
        </w:rPr>
        <w:t>Activities include taking part in tests and/or submitting to measurements as part of a research project, etc. They are usually paid a small sum to cover out of pocket expenses and as compensation for the time spent.</w:t>
      </w:r>
    </w:p>
    <w:p w14:paraId="0ED24D17" w14:textId="77777777" w:rsidR="00BA3808" w:rsidRPr="00A06729" w:rsidRDefault="00BA3808">
      <w:pPr>
        <w:pStyle w:val="BodyText"/>
        <w:spacing w:line="276" w:lineRule="auto"/>
        <w:ind w:left="112" w:right="704"/>
        <w:rPr>
          <w:sz w:val="22"/>
        </w:rPr>
      </w:pPr>
    </w:p>
    <w:p w14:paraId="34E42460" w14:textId="05B84078" w:rsidR="00FC302D" w:rsidRPr="00A06729" w:rsidRDefault="00935AEE">
      <w:pPr>
        <w:pStyle w:val="BodyText"/>
        <w:spacing w:line="276" w:lineRule="auto"/>
        <w:ind w:left="112" w:right="704"/>
        <w:rPr>
          <w:b/>
          <w:sz w:val="22"/>
        </w:rPr>
      </w:pPr>
      <w:r w:rsidRPr="00A06729">
        <w:rPr>
          <w:b/>
          <w:sz w:val="22"/>
        </w:rPr>
        <w:t xml:space="preserve">The </w:t>
      </w:r>
      <w:proofErr w:type="gramStart"/>
      <w:r w:rsidRPr="00A06729">
        <w:rPr>
          <w:b/>
          <w:sz w:val="22"/>
        </w:rPr>
        <w:t>Faculty</w:t>
      </w:r>
      <w:proofErr w:type="gramEnd"/>
      <w:r w:rsidRPr="00A06729">
        <w:rPr>
          <w:b/>
          <w:sz w:val="22"/>
        </w:rPr>
        <w:t xml:space="preserve"> payment method for research participation is via cash advance/vouchers or PR20 form. (See below for further information).</w:t>
      </w:r>
    </w:p>
    <w:p w14:paraId="088DF73E" w14:textId="77777777" w:rsidR="00617164" w:rsidRPr="00A06729" w:rsidRDefault="00617164">
      <w:pPr>
        <w:pStyle w:val="BodyText"/>
        <w:spacing w:line="276" w:lineRule="auto"/>
        <w:ind w:left="112" w:right="704"/>
        <w:rPr>
          <w:b/>
          <w:sz w:val="22"/>
        </w:rPr>
      </w:pPr>
    </w:p>
    <w:p w14:paraId="2F54597B" w14:textId="77777777" w:rsidR="00FC302D" w:rsidRPr="00A06729" w:rsidRDefault="00935AEE">
      <w:pPr>
        <w:pStyle w:val="Heading1"/>
        <w:numPr>
          <w:ilvl w:val="0"/>
          <w:numId w:val="5"/>
        </w:numPr>
        <w:tabs>
          <w:tab w:val="left" w:pos="820"/>
          <w:tab w:val="left" w:pos="821"/>
        </w:tabs>
        <w:spacing w:before="155"/>
        <w:ind w:hanging="708"/>
        <w:rPr>
          <w:sz w:val="28"/>
        </w:rPr>
      </w:pPr>
      <w:r w:rsidRPr="00A06729">
        <w:rPr>
          <w:color w:val="6C009D"/>
          <w:sz w:val="28"/>
        </w:rPr>
        <w:t>Frequently Asked Questions</w:t>
      </w:r>
      <w:r w:rsidRPr="00A06729">
        <w:rPr>
          <w:color w:val="6C009D"/>
          <w:spacing w:val="-4"/>
          <w:sz w:val="28"/>
        </w:rPr>
        <w:t xml:space="preserve"> </w:t>
      </w:r>
      <w:r w:rsidRPr="00A06729">
        <w:rPr>
          <w:color w:val="6C009D"/>
          <w:sz w:val="28"/>
        </w:rPr>
        <w:t>(FAQ)</w:t>
      </w:r>
    </w:p>
    <w:p w14:paraId="51F99F05" w14:textId="77777777" w:rsidR="00FC302D" w:rsidRPr="00A06729" w:rsidRDefault="00FC302D">
      <w:pPr>
        <w:pStyle w:val="BodyText"/>
        <w:spacing w:before="4"/>
        <w:rPr>
          <w:sz w:val="28"/>
        </w:rPr>
      </w:pPr>
    </w:p>
    <w:p w14:paraId="70566CC3" w14:textId="203A1877" w:rsidR="00FC302D" w:rsidRPr="00A06729" w:rsidRDefault="00935AEE">
      <w:pPr>
        <w:pStyle w:val="Heading2"/>
        <w:numPr>
          <w:ilvl w:val="0"/>
          <w:numId w:val="4"/>
        </w:numPr>
        <w:tabs>
          <w:tab w:val="left" w:pos="472"/>
        </w:tabs>
        <w:spacing w:before="0"/>
        <w:rPr>
          <w:sz w:val="22"/>
        </w:rPr>
      </w:pPr>
      <w:r w:rsidRPr="00A06729">
        <w:rPr>
          <w:color w:val="6F2F9F"/>
          <w:sz w:val="22"/>
        </w:rPr>
        <w:t xml:space="preserve">Where </w:t>
      </w:r>
      <w:r w:rsidR="004D43DE">
        <w:rPr>
          <w:color w:val="6F2F9F"/>
          <w:sz w:val="22"/>
        </w:rPr>
        <w:t>D</w:t>
      </w:r>
      <w:r w:rsidRPr="00A06729">
        <w:rPr>
          <w:color w:val="6F2F9F"/>
          <w:sz w:val="22"/>
        </w:rPr>
        <w:t xml:space="preserve">o I </w:t>
      </w:r>
      <w:r w:rsidR="004D43DE">
        <w:rPr>
          <w:color w:val="6F2F9F"/>
          <w:sz w:val="22"/>
        </w:rPr>
        <w:t>F</w:t>
      </w:r>
      <w:r w:rsidRPr="00A06729">
        <w:rPr>
          <w:color w:val="6F2F9F"/>
          <w:sz w:val="22"/>
        </w:rPr>
        <w:t xml:space="preserve">ind the </w:t>
      </w:r>
      <w:r w:rsidR="004D43DE">
        <w:rPr>
          <w:color w:val="6F2F9F"/>
          <w:sz w:val="22"/>
        </w:rPr>
        <w:t>M</w:t>
      </w:r>
      <w:r w:rsidRPr="00A06729">
        <w:rPr>
          <w:color w:val="6F2F9F"/>
          <w:sz w:val="22"/>
        </w:rPr>
        <w:t xml:space="preserve">oney to </w:t>
      </w:r>
      <w:r w:rsidR="004D43DE">
        <w:rPr>
          <w:color w:val="6F2F9F"/>
          <w:sz w:val="22"/>
        </w:rPr>
        <w:t>P</w:t>
      </w:r>
      <w:r w:rsidRPr="00A06729">
        <w:rPr>
          <w:color w:val="6F2F9F"/>
          <w:sz w:val="22"/>
        </w:rPr>
        <w:t xml:space="preserve">ay for </w:t>
      </w:r>
      <w:r w:rsidR="004D43DE">
        <w:rPr>
          <w:color w:val="6F2F9F"/>
          <w:sz w:val="22"/>
        </w:rPr>
        <w:t>I</w:t>
      </w:r>
      <w:r w:rsidRPr="00A06729">
        <w:rPr>
          <w:color w:val="6F2F9F"/>
          <w:sz w:val="22"/>
        </w:rPr>
        <w:t>nvolvement and</w:t>
      </w:r>
      <w:r w:rsidRPr="00A06729">
        <w:rPr>
          <w:color w:val="6F2F9F"/>
          <w:spacing w:val="-8"/>
          <w:sz w:val="22"/>
        </w:rPr>
        <w:t xml:space="preserve"> </w:t>
      </w:r>
      <w:r w:rsidR="004D43DE">
        <w:rPr>
          <w:color w:val="6F2F9F"/>
          <w:sz w:val="22"/>
        </w:rPr>
        <w:t>P</w:t>
      </w:r>
      <w:r w:rsidRPr="00A06729">
        <w:rPr>
          <w:color w:val="6F2F9F"/>
          <w:sz w:val="22"/>
        </w:rPr>
        <w:t>articipation?</w:t>
      </w:r>
    </w:p>
    <w:p w14:paraId="3E976EE6" w14:textId="77777777" w:rsidR="00FC302D" w:rsidRPr="00A06729" w:rsidRDefault="00FC302D">
      <w:pPr>
        <w:pStyle w:val="BodyText"/>
        <w:spacing w:before="6"/>
        <w:rPr>
          <w:b/>
          <w:sz w:val="22"/>
        </w:rPr>
      </w:pPr>
    </w:p>
    <w:p w14:paraId="52864359" w14:textId="77777777" w:rsidR="00FC302D" w:rsidRPr="00A06729" w:rsidRDefault="00935AEE">
      <w:pPr>
        <w:pStyle w:val="BodyText"/>
        <w:ind w:left="112"/>
        <w:rPr>
          <w:sz w:val="22"/>
        </w:rPr>
      </w:pPr>
      <w:r w:rsidRPr="00A06729">
        <w:rPr>
          <w:sz w:val="22"/>
        </w:rPr>
        <w:t>A1. Involvement in research</w:t>
      </w:r>
    </w:p>
    <w:p w14:paraId="3E78D614" w14:textId="0EEDB2A3" w:rsidR="00FC302D" w:rsidRPr="00A06729" w:rsidRDefault="00935AEE" w:rsidP="00717E42">
      <w:pPr>
        <w:pStyle w:val="ListParagraph"/>
        <w:numPr>
          <w:ilvl w:val="1"/>
          <w:numId w:val="4"/>
        </w:numPr>
        <w:tabs>
          <w:tab w:val="left" w:pos="832"/>
          <w:tab w:val="left" w:pos="833"/>
        </w:tabs>
        <w:spacing w:before="1"/>
        <w:ind w:right="1404"/>
      </w:pPr>
      <w:r w:rsidRPr="00A06729">
        <w:t xml:space="preserve">In BMH, the </w:t>
      </w:r>
      <w:hyperlink r:id="rId10" w:history="1">
        <w:r w:rsidR="00BA3808" w:rsidRPr="00A06729">
          <w:rPr>
            <w:rStyle w:val="Hyperlink"/>
          </w:rPr>
          <w:t>Social Responsibility and Public Engagement Team</w:t>
        </w:r>
      </w:hyperlink>
      <w:r w:rsidR="00717E42" w:rsidRPr="00A06729">
        <w:t xml:space="preserve"> </w:t>
      </w:r>
      <w:r w:rsidRPr="00A06729">
        <w:t xml:space="preserve">can offer advice and the </w:t>
      </w:r>
      <w:hyperlink r:id="rId11" w:history="1">
        <w:r w:rsidR="0076554C" w:rsidRPr="0076554C">
          <w:rPr>
            <w:rStyle w:val="Hyperlink"/>
          </w:rPr>
          <w:t>Research Services</w:t>
        </w:r>
        <w:r w:rsidRPr="0076554C">
          <w:rPr>
            <w:rStyle w:val="Hyperlink"/>
          </w:rPr>
          <w:t xml:space="preserve"> Team</w:t>
        </w:r>
      </w:hyperlink>
      <w:r w:rsidRPr="00A06729">
        <w:t xml:space="preserve"> can also signpost funding</w:t>
      </w:r>
      <w:r w:rsidRPr="00A06729">
        <w:rPr>
          <w:spacing w:val="-3"/>
        </w:rPr>
        <w:t xml:space="preserve"> </w:t>
      </w:r>
      <w:r w:rsidRPr="00A06729">
        <w:t>opportunities</w:t>
      </w:r>
    </w:p>
    <w:p w14:paraId="3CB99DA0" w14:textId="77777777" w:rsidR="00FC302D" w:rsidRPr="00A06729" w:rsidRDefault="00935AEE">
      <w:pPr>
        <w:pStyle w:val="ListParagraph"/>
        <w:numPr>
          <w:ilvl w:val="1"/>
          <w:numId w:val="4"/>
        </w:numPr>
        <w:tabs>
          <w:tab w:val="left" w:pos="832"/>
          <w:tab w:val="left" w:pos="833"/>
        </w:tabs>
        <w:ind w:right="677"/>
      </w:pPr>
      <w:r w:rsidRPr="00A06729">
        <w:t xml:space="preserve">Some research funding bodies will provide funds for involvement; check with your funder or consult their </w:t>
      </w:r>
      <w:proofErr w:type="gramStart"/>
      <w:r w:rsidRPr="00A06729">
        <w:t>guidelines</w:t>
      </w:r>
      <w:proofErr w:type="gramEnd"/>
    </w:p>
    <w:p w14:paraId="17B8844D" w14:textId="77777777" w:rsidR="0076554C" w:rsidRDefault="00FC1859" w:rsidP="00157364">
      <w:pPr>
        <w:pStyle w:val="ListParagraph"/>
        <w:numPr>
          <w:ilvl w:val="1"/>
          <w:numId w:val="4"/>
        </w:numPr>
        <w:tabs>
          <w:tab w:val="left" w:pos="832"/>
          <w:tab w:val="left" w:pos="833"/>
        </w:tabs>
        <w:spacing w:before="93" w:line="242" w:lineRule="auto"/>
        <w:ind w:right="1023"/>
      </w:pPr>
      <w:r>
        <w:t xml:space="preserve">NIHR </w:t>
      </w:r>
      <w:r w:rsidRPr="00FC1859">
        <w:t>Centre for Engagement and Dissemination</w:t>
      </w:r>
      <w:r>
        <w:t xml:space="preserve"> </w:t>
      </w:r>
      <w:r w:rsidR="00935AEE" w:rsidRPr="00A06729">
        <w:t xml:space="preserve">have produced a useful guide on </w:t>
      </w:r>
      <w:hyperlink r:id="rId12" w:anchor="Budgeting_for_involvement" w:history="1">
        <w:r w:rsidR="00935AEE" w:rsidRPr="00A06729">
          <w:rPr>
            <w:rStyle w:val="Hyperlink"/>
          </w:rPr>
          <w:t>budgeting for involvement in research</w:t>
        </w:r>
      </w:hyperlink>
      <w:r w:rsidR="0076554C">
        <w:rPr>
          <w:rStyle w:val="Hyperlink"/>
        </w:rPr>
        <w:t xml:space="preserve">. </w:t>
      </w:r>
      <w:r w:rsidR="00BA3808" w:rsidRPr="00A06729">
        <w:t>Plus they also have a</w:t>
      </w:r>
      <w:r w:rsidR="0062127F" w:rsidRPr="00A06729">
        <w:t>n</w:t>
      </w:r>
      <w:r w:rsidR="00BA3808" w:rsidRPr="00A06729">
        <w:t xml:space="preserve"> </w:t>
      </w:r>
      <w:hyperlink r:id="rId13" w:history="1">
        <w:r w:rsidR="00BA3808" w:rsidRPr="00A06729">
          <w:rPr>
            <w:rStyle w:val="Hyperlink"/>
          </w:rPr>
          <w:t>Involvement Cost Calculator</w:t>
        </w:r>
      </w:hyperlink>
      <w:r w:rsidR="00BA3808" w:rsidRPr="00A06729">
        <w:t xml:space="preserve"> </w:t>
      </w:r>
    </w:p>
    <w:p w14:paraId="720A88C4" w14:textId="3ADBA793" w:rsidR="00FC302D" w:rsidRPr="00A06729" w:rsidRDefault="00935AEE" w:rsidP="00157364">
      <w:pPr>
        <w:pStyle w:val="ListParagraph"/>
        <w:numPr>
          <w:ilvl w:val="1"/>
          <w:numId w:val="4"/>
        </w:numPr>
        <w:tabs>
          <w:tab w:val="left" w:pos="832"/>
          <w:tab w:val="left" w:pos="833"/>
        </w:tabs>
        <w:spacing w:before="93" w:line="242" w:lineRule="auto"/>
        <w:ind w:right="1023"/>
      </w:pPr>
      <w:r w:rsidRPr="00A06729">
        <w:t>Some funders offer specific bursaries for involvement at the proposal development stage (</w:t>
      </w:r>
      <w:proofErr w:type="gramStart"/>
      <w:r w:rsidRPr="00A06729">
        <w:t>e.g.</w:t>
      </w:r>
      <w:proofErr w:type="gramEnd"/>
      <w:r w:rsidRPr="0076554C">
        <w:rPr>
          <w:spacing w:val="-39"/>
        </w:rPr>
        <w:t xml:space="preserve"> </w:t>
      </w:r>
      <w:hyperlink r:id="rId14" w:history="1">
        <w:r w:rsidRPr="00A06729">
          <w:rPr>
            <w:rStyle w:val="Hyperlink"/>
          </w:rPr>
          <w:t>NIHR Research Design Service</w:t>
        </w:r>
      </w:hyperlink>
      <w:r w:rsidRPr="00A06729">
        <w:t xml:space="preserve">) </w:t>
      </w:r>
    </w:p>
    <w:p w14:paraId="192DB9D9" w14:textId="77777777" w:rsidR="00FC302D" w:rsidRPr="00A06729" w:rsidRDefault="00935AEE">
      <w:pPr>
        <w:pStyle w:val="ListParagraph"/>
        <w:numPr>
          <w:ilvl w:val="1"/>
          <w:numId w:val="4"/>
        </w:numPr>
        <w:tabs>
          <w:tab w:val="left" w:pos="832"/>
          <w:tab w:val="left" w:pos="833"/>
        </w:tabs>
        <w:spacing w:before="1"/>
        <w:ind w:right="902"/>
      </w:pPr>
      <w:r w:rsidRPr="00A06729">
        <w:t>Other funders accept costs for involvement activities as part of an overall grant application (</w:t>
      </w:r>
      <w:proofErr w:type="gramStart"/>
      <w:r w:rsidRPr="00A06729">
        <w:t>e.g.</w:t>
      </w:r>
      <w:proofErr w:type="gramEnd"/>
      <w:r w:rsidRPr="00A06729">
        <w:rPr>
          <w:spacing w:val="-38"/>
        </w:rPr>
        <w:t xml:space="preserve"> </w:t>
      </w:r>
      <w:r w:rsidRPr="00A06729">
        <w:t>NIHR schemes)</w:t>
      </w:r>
    </w:p>
    <w:p w14:paraId="0A3F6A04" w14:textId="1CB845E8" w:rsidR="00FC302D" w:rsidRPr="00A06729" w:rsidRDefault="00935AEE">
      <w:pPr>
        <w:pStyle w:val="ListParagraph"/>
        <w:numPr>
          <w:ilvl w:val="1"/>
          <w:numId w:val="4"/>
        </w:numPr>
        <w:tabs>
          <w:tab w:val="left" w:pos="832"/>
          <w:tab w:val="left" w:pos="833"/>
        </w:tabs>
        <w:spacing w:before="1"/>
        <w:ind w:right="1614"/>
      </w:pPr>
      <w:r w:rsidRPr="00A06729">
        <w:t>Some research funders (</w:t>
      </w:r>
      <w:proofErr w:type="gramStart"/>
      <w:r w:rsidRPr="00A06729">
        <w:t>e.g.</w:t>
      </w:r>
      <w:proofErr w:type="gramEnd"/>
      <w:r w:rsidRPr="00A06729">
        <w:t xml:space="preserve"> </w:t>
      </w:r>
      <w:hyperlink r:id="rId15" w:history="1">
        <w:r w:rsidRPr="00A06729">
          <w:rPr>
            <w:rStyle w:val="Hyperlink"/>
          </w:rPr>
          <w:t xml:space="preserve">The </w:t>
        </w:r>
        <w:proofErr w:type="spellStart"/>
        <w:r w:rsidRPr="00A06729">
          <w:rPr>
            <w:rStyle w:val="Hyperlink"/>
          </w:rPr>
          <w:t>Wellcome</w:t>
        </w:r>
        <w:proofErr w:type="spellEnd"/>
        <w:r w:rsidRPr="00A06729">
          <w:rPr>
            <w:rStyle w:val="Hyperlink"/>
          </w:rPr>
          <w:t xml:space="preserve"> Trust</w:t>
        </w:r>
      </w:hyperlink>
      <w:r w:rsidR="0076554C">
        <w:rPr>
          <w:rStyle w:val="Hyperlink"/>
        </w:rPr>
        <w:t>)</w:t>
      </w:r>
      <w:r w:rsidRPr="00A06729">
        <w:t xml:space="preserve"> and charities can offer</w:t>
      </w:r>
      <w:r w:rsidRPr="00A06729">
        <w:rPr>
          <w:spacing w:val="-4"/>
        </w:rPr>
        <w:t xml:space="preserve"> </w:t>
      </w:r>
      <w:r w:rsidRPr="00A06729">
        <w:t>grants</w:t>
      </w:r>
    </w:p>
    <w:p w14:paraId="3DD2C710" w14:textId="77777777" w:rsidR="00FC302D" w:rsidRPr="00A06729" w:rsidRDefault="00935AEE">
      <w:pPr>
        <w:pStyle w:val="ListParagraph"/>
        <w:numPr>
          <w:ilvl w:val="1"/>
          <w:numId w:val="4"/>
        </w:numPr>
        <w:tabs>
          <w:tab w:val="left" w:pos="832"/>
          <w:tab w:val="left" w:pos="833"/>
        </w:tabs>
        <w:ind w:right="1098"/>
      </w:pPr>
      <w:r w:rsidRPr="00A06729">
        <w:t>Remember to include follow-on work (</w:t>
      </w:r>
      <w:proofErr w:type="gramStart"/>
      <w:r w:rsidRPr="00A06729">
        <w:t>e.g.</w:t>
      </w:r>
      <w:proofErr w:type="gramEnd"/>
      <w:r w:rsidRPr="00A06729">
        <w:t xml:space="preserve"> workshops to disseminate study findings, future</w:t>
      </w:r>
      <w:r w:rsidRPr="00A06729">
        <w:rPr>
          <w:spacing w:val="-34"/>
        </w:rPr>
        <w:t xml:space="preserve"> </w:t>
      </w:r>
      <w:r w:rsidRPr="00A06729">
        <w:t>planning workshops) in funding</w:t>
      </w:r>
      <w:r w:rsidRPr="00A06729">
        <w:rPr>
          <w:spacing w:val="-3"/>
        </w:rPr>
        <w:t xml:space="preserve"> </w:t>
      </w:r>
      <w:r w:rsidRPr="00A06729">
        <w:t>applications</w:t>
      </w:r>
    </w:p>
    <w:p w14:paraId="5A2B7FB6" w14:textId="77777777" w:rsidR="00FC302D" w:rsidRPr="00A06729" w:rsidRDefault="00FC302D">
      <w:pPr>
        <w:pStyle w:val="BodyText"/>
        <w:spacing w:before="2"/>
      </w:pPr>
    </w:p>
    <w:p w14:paraId="51CF4D38" w14:textId="77777777" w:rsidR="00FC302D" w:rsidRPr="00A06729" w:rsidRDefault="00935AEE">
      <w:pPr>
        <w:pStyle w:val="ListParagraph"/>
        <w:numPr>
          <w:ilvl w:val="1"/>
          <w:numId w:val="3"/>
        </w:numPr>
        <w:tabs>
          <w:tab w:val="left" w:pos="523"/>
        </w:tabs>
        <w:ind w:hanging="410"/>
      </w:pPr>
      <w:r w:rsidRPr="00A06729">
        <w:t>Involvement in teaching and</w:t>
      </w:r>
      <w:r w:rsidRPr="00A06729">
        <w:rPr>
          <w:spacing w:val="-5"/>
        </w:rPr>
        <w:t xml:space="preserve"> </w:t>
      </w:r>
      <w:r w:rsidRPr="00A06729">
        <w:t>learning</w:t>
      </w:r>
    </w:p>
    <w:p w14:paraId="18D250F6" w14:textId="77777777" w:rsidR="00FC302D" w:rsidRPr="00A06729" w:rsidRDefault="00FC302D">
      <w:pPr>
        <w:pStyle w:val="BodyText"/>
        <w:spacing w:before="2"/>
        <w:rPr>
          <w:sz w:val="22"/>
        </w:rPr>
      </w:pPr>
    </w:p>
    <w:p w14:paraId="5778AB42" w14:textId="645E9724" w:rsidR="00FC302D" w:rsidRPr="00A06729" w:rsidRDefault="00935AEE">
      <w:pPr>
        <w:pStyle w:val="ListParagraph"/>
        <w:numPr>
          <w:ilvl w:val="2"/>
          <w:numId w:val="3"/>
        </w:numPr>
        <w:tabs>
          <w:tab w:val="left" w:pos="821"/>
        </w:tabs>
        <w:ind w:right="673"/>
        <w:jc w:val="both"/>
      </w:pPr>
      <w:r w:rsidRPr="00A06729">
        <w:t xml:space="preserve">Some education budgets include allocations for involvement. Consult your Director of Undergraduate/Postgraduate education and/or Programme Director. </w:t>
      </w:r>
      <w:proofErr w:type="gramStart"/>
      <w:r w:rsidRPr="00A06729">
        <w:t>In particular, teaching</w:t>
      </w:r>
      <w:proofErr w:type="gramEnd"/>
      <w:r w:rsidRPr="00A06729">
        <w:t xml:space="preserve"> for professional registration routinely supports involvement</w:t>
      </w:r>
      <w:r w:rsidRPr="00A06729">
        <w:rPr>
          <w:spacing w:val="-5"/>
        </w:rPr>
        <w:t xml:space="preserve"> </w:t>
      </w:r>
      <w:r w:rsidRPr="00A06729">
        <w:t>activities</w:t>
      </w:r>
      <w:r w:rsidR="0076554C">
        <w:t>.</w:t>
      </w:r>
    </w:p>
    <w:p w14:paraId="4B4EDE2A" w14:textId="77777777" w:rsidR="00FC302D" w:rsidRPr="00A06729" w:rsidRDefault="00FC302D">
      <w:pPr>
        <w:pStyle w:val="BodyText"/>
        <w:rPr>
          <w:sz w:val="24"/>
        </w:rPr>
      </w:pPr>
    </w:p>
    <w:p w14:paraId="2BADCD45" w14:textId="77777777" w:rsidR="00FC302D" w:rsidRPr="00A06729" w:rsidRDefault="00935AEE">
      <w:pPr>
        <w:pStyle w:val="ListParagraph"/>
        <w:numPr>
          <w:ilvl w:val="1"/>
          <w:numId w:val="3"/>
        </w:numPr>
        <w:tabs>
          <w:tab w:val="left" w:pos="523"/>
        </w:tabs>
        <w:ind w:hanging="410"/>
      </w:pPr>
      <w:r w:rsidRPr="00A06729">
        <w:t>Research Participation</w:t>
      </w:r>
    </w:p>
    <w:p w14:paraId="45A8AC01" w14:textId="77777777" w:rsidR="00FC302D" w:rsidRPr="00A06729" w:rsidRDefault="00FC302D">
      <w:pPr>
        <w:pStyle w:val="BodyText"/>
        <w:spacing w:before="5"/>
        <w:rPr>
          <w:sz w:val="22"/>
        </w:rPr>
      </w:pPr>
    </w:p>
    <w:p w14:paraId="72DB7754" w14:textId="631DECD1" w:rsidR="00FC302D" w:rsidRPr="00A06729" w:rsidRDefault="00935AEE">
      <w:pPr>
        <w:pStyle w:val="ListParagraph"/>
        <w:numPr>
          <w:ilvl w:val="2"/>
          <w:numId w:val="3"/>
        </w:numPr>
        <w:tabs>
          <w:tab w:val="left" w:pos="821"/>
        </w:tabs>
        <w:spacing w:line="276" w:lineRule="auto"/>
        <w:ind w:right="993"/>
      </w:pPr>
      <w:r w:rsidRPr="00A06729">
        <w:t>Some research grants will include allocations for reimbursing participants for their time and</w:t>
      </w:r>
      <w:r w:rsidR="007C3567" w:rsidRPr="00A06729">
        <w:t xml:space="preserve"> </w:t>
      </w:r>
      <w:r w:rsidRPr="00A06729">
        <w:t>out of pocket expenses, depending on the funding</w:t>
      </w:r>
      <w:r w:rsidRPr="00A06729">
        <w:rPr>
          <w:spacing w:val="-1"/>
        </w:rPr>
        <w:t xml:space="preserve"> </w:t>
      </w:r>
      <w:r w:rsidRPr="00A06729">
        <w:t>body.</w:t>
      </w:r>
    </w:p>
    <w:p w14:paraId="687DD0F7" w14:textId="77777777" w:rsidR="00FC302D" w:rsidRPr="00A06729" w:rsidRDefault="00FC302D">
      <w:pPr>
        <w:pStyle w:val="BodyText"/>
        <w:spacing w:before="7"/>
        <w:rPr>
          <w:sz w:val="24"/>
        </w:rPr>
      </w:pPr>
    </w:p>
    <w:p w14:paraId="3DC692E2" w14:textId="75C8C474" w:rsidR="00FC302D" w:rsidRPr="00A06729" w:rsidRDefault="00935AEE">
      <w:pPr>
        <w:pStyle w:val="Heading2"/>
        <w:numPr>
          <w:ilvl w:val="0"/>
          <w:numId w:val="4"/>
        </w:numPr>
        <w:tabs>
          <w:tab w:val="left" w:pos="472"/>
        </w:tabs>
        <w:spacing w:before="1" w:line="278" w:lineRule="auto"/>
        <w:ind w:right="1698"/>
        <w:rPr>
          <w:sz w:val="22"/>
        </w:rPr>
      </w:pPr>
      <w:r w:rsidRPr="00A06729">
        <w:rPr>
          <w:color w:val="6F2F9F"/>
          <w:sz w:val="22"/>
        </w:rPr>
        <w:t xml:space="preserve">How </w:t>
      </w:r>
      <w:r w:rsidR="004D43DE">
        <w:rPr>
          <w:color w:val="6F2F9F"/>
          <w:sz w:val="22"/>
        </w:rPr>
        <w:t>M</w:t>
      </w:r>
      <w:r w:rsidRPr="00A06729">
        <w:rPr>
          <w:color w:val="6F2F9F"/>
          <w:sz w:val="22"/>
        </w:rPr>
        <w:t xml:space="preserve">uch </w:t>
      </w:r>
      <w:r w:rsidR="004D43DE">
        <w:rPr>
          <w:color w:val="6F2F9F"/>
          <w:sz w:val="22"/>
        </w:rPr>
        <w:t>C</w:t>
      </w:r>
      <w:r w:rsidRPr="00A06729">
        <w:rPr>
          <w:color w:val="6F2F9F"/>
          <w:sz w:val="22"/>
        </w:rPr>
        <w:t xml:space="preserve">an I </w:t>
      </w:r>
      <w:r w:rsidR="004D43DE">
        <w:rPr>
          <w:color w:val="6F2F9F"/>
          <w:sz w:val="22"/>
        </w:rPr>
        <w:t>P</w:t>
      </w:r>
      <w:r w:rsidRPr="00A06729">
        <w:rPr>
          <w:color w:val="6F2F9F"/>
          <w:sz w:val="22"/>
        </w:rPr>
        <w:t xml:space="preserve">ay </w:t>
      </w:r>
      <w:r w:rsidR="004D43DE">
        <w:rPr>
          <w:color w:val="6F2F9F"/>
          <w:sz w:val="22"/>
        </w:rPr>
        <w:t>P</w:t>
      </w:r>
      <w:r w:rsidRPr="00A06729">
        <w:rPr>
          <w:color w:val="6F2F9F"/>
          <w:sz w:val="22"/>
        </w:rPr>
        <w:t xml:space="preserve">eople for </w:t>
      </w:r>
      <w:r w:rsidR="004D43DE">
        <w:rPr>
          <w:color w:val="6F2F9F"/>
          <w:sz w:val="22"/>
        </w:rPr>
        <w:t>I</w:t>
      </w:r>
      <w:r w:rsidRPr="00A06729">
        <w:rPr>
          <w:color w:val="6F2F9F"/>
          <w:sz w:val="22"/>
        </w:rPr>
        <w:t xml:space="preserve">nvolvement and are </w:t>
      </w:r>
      <w:r w:rsidR="004D43DE">
        <w:rPr>
          <w:color w:val="6F2F9F"/>
          <w:sz w:val="22"/>
        </w:rPr>
        <w:t>P</w:t>
      </w:r>
      <w:r w:rsidRPr="00A06729">
        <w:rPr>
          <w:color w:val="6F2F9F"/>
          <w:sz w:val="22"/>
        </w:rPr>
        <w:t xml:space="preserve">ayments </w:t>
      </w:r>
      <w:r w:rsidR="004D43DE">
        <w:rPr>
          <w:color w:val="6F2F9F"/>
          <w:sz w:val="22"/>
        </w:rPr>
        <w:t>S</w:t>
      </w:r>
      <w:r w:rsidRPr="00A06729">
        <w:rPr>
          <w:color w:val="6F2F9F"/>
          <w:sz w:val="22"/>
        </w:rPr>
        <w:t xml:space="preserve">ubject to </w:t>
      </w:r>
      <w:r w:rsidR="004D43DE">
        <w:rPr>
          <w:color w:val="6F2F9F"/>
          <w:sz w:val="22"/>
        </w:rPr>
        <w:t>T</w:t>
      </w:r>
      <w:r w:rsidRPr="00A06729">
        <w:rPr>
          <w:color w:val="6F2F9F"/>
          <w:sz w:val="22"/>
        </w:rPr>
        <w:t>ax and</w:t>
      </w:r>
      <w:r w:rsidRPr="00A06729">
        <w:rPr>
          <w:color w:val="6F2F9F"/>
          <w:spacing w:val="-30"/>
          <w:sz w:val="22"/>
        </w:rPr>
        <w:t xml:space="preserve"> </w:t>
      </w:r>
      <w:r w:rsidRPr="00A06729">
        <w:rPr>
          <w:color w:val="6F2F9F"/>
          <w:sz w:val="22"/>
        </w:rPr>
        <w:t>National Insurance?</w:t>
      </w:r>
    </w:p>
    <w:p w14:paraId="05FDCB4F" w14:textId="77777777" w:rsidR="00FC302D" w:rsidRPr="00A06729" w:rsidRDefault="00FC302D">
      <w:pPr>
        <w:pStyle w:val="BodyText"/>
        <w:spacing w:before="8"/>
        <w:rPr>
          <w:b/>
          <w:sz w:val="24"/>
        </w:rPr>
      </w:pPr>
    </w:p>
    <w:p w14:paraId="3466461A" w14:textId="74A152D3" w:rsidR="00A06729" w:rsidRDefault="00935AEE" w:rsidP="007C3567">
      <w:pPr>
        <w:pStyle w:val="BodyText"/>
        <w:spacing w:line="276" w:lineRule="auto"/>
        <w:ind w:left="112" w:right="674"/>
        <w:rPr>
          <w:sz w:val="22"/>
        </w:rPr>
      </w:pPr>
      <w:r w:rsidRPr="00A06729">
        <w:rPr>
          <w:b/>
          <w:sz w:val="22"/>
        </w:rPr>
        <w:t xml:space="preserve">Please note: </w:t>
      </w:r>
      <w:r w:rsidRPr="00A06729">
        <w:rPr>
          <w:sz w:val="22"/>
        </w:rPr>
        <w:t xml:space="preserve">A distinction should be made between paying people their expenses (travel and subsistence) and providing payment for people’s expertise, </w:t>
      </w:r>
      <w:proofErr w:type="gramStart"/>
      <w:r w:rsidRPr="00A06729">
        <w:rPr>
          <w:sz w:val="22"/>
        </w:rPr>
        <w:t>time</w:t>
      </w:r>
      <w:proofErr w:type="gramEnd"/>
      <w:r w:rsidRPr="00A06729">
        <w:rPr>
          <w:sz w:val="22"/>
        </w:rPr>
        <w:t xml:space="preserve"> and effort. </w:t>
      </w:r>
    </w:p>
    <w:p w14:paraId="6BF34C28" w14:textId="77777777" w:rsidR="006F6427" w:rsidRDefault="006F6427" w:rsidP="007C3567">
      <w:pPr>
        <w:pStyle w:val="BodyText"/>
        <w:spacing w:line="276" w:lineRule="auto"/>
        <w:ind w:left="112" w:right="674"/>
        <w:rPr>
          <w:sz w:val="22"/>
        </w:rPr>
      </w:pPr>
    </w:p>
    <w:p w14:paraId="746D5C0E" w14:textId="27E918B9" w:rsidR="00FC302D" w:rsidRPr="00A06729" w:rsidRDefault="00935AEE" w:rsidP="007C3567">
      <w:pPr>
        <w:pStyle w:val="BodyText"/>
        <w:spacing w:line="276" w:lineRule="auto"/>
        <w:ind w:left="112" w:right="674"/>
        <w:rPr>
          <w:sz w:val="22"/>
        </w:rPr>
      </w:pPr>
      <w:r w:rsidRPr="00A06729">
        <w:rPr>
          <w:sz w:val="22"/>
        </w:rPr>
        <w:t xml:space="preserve">It is </w:t>
      </w:r>
      <w:r w:rsidRPr="00A06729">
        <w:rPr>
          <w:b/>
          <w:sz w:val="22"/>
        </w:rPr>
        <w:t>key</w:t>
      </w:r>
      <w:r w:rsidRPr="00A06729">
        <w:rPr>
          <w:sz w:val="22"/>
        </w:rPr>
        <w:t xml:space="preserve"> to discuss at the earliest stage possible and the discussion should be </w:t>
      </w:r>
      <w:r w:rsidRPr="00A06729">
        <w:rPr>
          <w:sz w:val="22"/>
        </w:rPr>
        <w:lastRenderedPageBreak/>
        <w:t>followed up in writing.</w:t>
      </w:r>
      <w:r w:rsidR="007C3567" w:rsidRPr="00A06729">
        <w:rPr>
          <w:sz w:val="22"/>
        </w:rPr>
        <w:t xml:space="preserve"> </w:t>
      </w:r>
      <w:r w:rsidRPr="00A06729">
        <w:rPr>
          <w:sz w:val="22"/>
        </w:rPr>
        <w:t>See Section E for examples of payment types and amounts.</w:t>
      </w:r>
    </w:p>
    <w:p w14:paraId="2271746E" w14:textId="77777777" w:rsidR="007C3567" w:rsidRPr="00A06729" w:rsidRDefault="007C3567" w:rsidP="007C3567">
      <w:pPr>
        <w:pStyle w:val="BodyText"/>
        <w:spacing w:line="276" w:lineRule="auto"/>
        <w:ind w:left="112" w:right="674"/>
        <w:rPr>
          <w:sz w:val="22"/>
        </w:rPr>
      </w:pPr>
    </w:p>
    <w:p w14:paraId="47AD2F0F" w14:textId="33EDAB6F" w:rsidR="008A4F78" w:rsidRPr="00A06729" w:rsidRDefault="00935AEE">
      <w:pPr>
        <w:pStyle w:val="BodyText"/>
        <w:spacing w:before="34" w:line="276" w:lineRule="auto"/>
        <w:ind w:left="112" w:right="704"/>
        <w:rPr>
          <w:sz w:val="22"/>
        </w:rPr>
      </w:pPr>
      <w:r w:rsidRPr="00A06729">
        <w:rPr>
          <w:sz w:val="22"/>
        </w:rPr>
        <w:t xml:space="preserve">For involvement where </w:t>
      </w:r>
      <w:r w:rsidR="008A4F78" w:rsidRPr="00A06729">
        <w:rPr>
          <w:sz w:val="22"/>
        </w:rPr>
        <w:t>Public C</w:t>
      </w:r>
      <w:r w:rsidRPr="00A06729">
        <w:rPr>
          <w:sz w:val="22"/>
        </w:rPr>
        <w:t xml:space="preserve">ontributors are invited to attend meetings to give their views on various matters to inform the research/teaching process and direction, </w:t>
      </w:r>
      <w:hyperlink r:id="rId16" w:history="1">
        <w:r w:rsidRPr="00471C4A">
          <w:rPr>
            <w:rStyle w:val="Hyperlink"/>
            <w:sz w:val="22"/>
          </w:rPr>
          <w:t>HMRC</w:t>
        </w:r>
      </w:hyperlink>
      <w:r w:rsidRPr="00A06729">
        <w:rPr>
          <w:sz w:val="22"/>
        </w:rPr>
        <w:t xml:space="preserve"> agrees that the amounts paid are unlikely to fall within the definition of ‘earnings’ for PAYE (pay as you earn) or NI (National Insurance) purposes. No employment relationship exists and as such PAYE or NI contributions would be inappropriate. </w:t>
      </w:r>
    </w:p>
    <w:p w14:paraId="7549F825" w14:textId="77777777" w:rsidR="008A4F78" w:rsidRPr="00A06729" w:rsidRDefault="008A4F78">
      <w:pPr>
        <w:pStyle w:val="BodyText"/>
        <w:spacing w:before="34" w:line="276" w:lineRule="auto"/>
        <w:ind w:left="112" w:right="704"/>
        <w:rPr>
          <w:sz w:val="22"/>
        </w:rPr>
      </w:pPr>
    </w:p>
    <w:p w14:paraId="4E29684B" w14:textId="1BD93352" w:rsidR="00D02651" w:rsidRPr="00A06729" w:rsidRDefault="00935AEE">
      <w:pPr>
        <w:pStyle w:val="BodyText"/>
        <w:spacing w:before="34" w:line="276" w:lineRule="auto"/>
        <w:ind w:left="112" w:right="704"/>
        <w:rPr>
          <w:sz w:val="22"/>
        </w:rPr>
      </w:pPr>
      <w:r w:rsidRPr="00A06729">
        <w:rPr>
          <w:sz w:val="22"/>
        </w:rPr>
        <w:t>Therefore</w:t>
      </w:r>
      <w:r w:rsidR="0076554C">
        <w:rPr>
          <w:sz w:val="22"/>
        </w:rPr>
        <w:t>,</w:t>
      </w:r>
      <w:r w:rsidRPr="00A06729">
        <w:rPr>
          <w:sz w:val="22"/>
        </w:rPr>
        <w:t xml:space="preserve"> </w:t>
      </w:r>
      <w:r w:rsidR="00EF489D" w:rsidRPr="00A06729">
        <w:rPr>
          <w:sz w:val="22"/>
        </w:rPr>
        <w:t>Public Contributor</w:t>
      </w:r>
      <w:r w:rsidRPr="00A06729">
        <w:rPr>
          <w:sz w:val="22"/>
        </w:rPr>
        <w:t>s would not be required to pay tax or NI if the sums received do no more than reimburse the individual’s reasonable costs, including travel and subsistence.</w:t>
      </w:r>
    </w:p>
    <w:p w14:paraId="5A6B6C3C" w14:textId="77777777" w:rsidR="008A4F78" w:rsidRPr="00A06729" w:rsidRDefault="008A4F78">
      <w:pPr>
        <w:pStyle w:val="BodyText"/>
        <w:spacing w:before="34" w:line="276" w:lineRule="auto"/>
        <w:ind w:left="112" w:right="704"/>
        <w:rPr>
          <w:sz w:val="22"/>
        </w:rPr>
      </w:pPr>
    </w:p>
    <w:p w14:paraId="758C76CD" w14:textId="2E41DBE5" w:rsidR="00FC302D" w:rsidRPr="00A06729" w:rsidRDefault="00935AEE">
      <w:pPr>
        <w:pStyle w:val="BodyText"/>
        <w:spacing w:before="34" w:line="276" w:lineRule="auto"/>
        <w:ind w:left="112" w:right="704"/>
        <w:rPr>
          <w:sz w:val="22"/>
        </w:rPr>
      </w:pPr>
      <w:r w:rsidRPr="00A06729">
        <w:rPr>
          <w:sz w:val="22"/>
        </w:rPr>
        <w:t>Should the sums paid exceed those reasonable expenses, then the excess may fall to Miscellaneous Income, potentially giving rise to personal tax liabilities which should be notified to the Inland Revenue under self -assessment.</w:t>
      </w:r>
    </w:p>
    <w:p w14:paraId="28B68452" w14:textId="77777777" w:rsidR="00FC302D" w:rsidRPr="00A06729" w:rsidRDefault="00FC302D">
      <w:pPr>
        <w:pStyle w:val="BodyText"/>
        <w:spacing w:before="5"/>
        <w:rPr>
          <w:sz w:val="18"/>
        </w:rPr>
      </w:pPr>
    </w:p>
    <w:p w14:paraId="7CFEFC5A" w14:textId="77777777" w:rsidR="00FC302D" w:rsidRPr="00A06729" w:rsidRDefault="00935AEE">
      <w:pPr>
        <w:spacing w:before="1" w:line="276" w:lineRule="auto"/>
        <w:ind w:left="820" w:right="886"/>
        <w:rPr>
          <w:b/>
        </w:rPr>
      </w:pPr>
      <w:r w:rsidRPr="00A06729">
        <w:rPr>
          <w:b/>
          <w:i/>
          <w:color w:val="6F2F9F"/>
        </w:rPr>
        <w:t xml:space="preserve">As a guide, the </w:t>
      </w:r>
      <w:proofErr w:type="gramStart"/>
      <w:r w:rsidRPr="00A06729">
        <w:rPr>
          <w:b/>
          <w:i/>
          <w:color w:val="6F2F9F"/>
        </w:rPr>
        <w:t>Faculty</w:t>
      </w:r>
      <w:proofErr w:type="gramEnd"/>
      <w:r w:rsidRPr="00A06729">
        <w:rPr>
          <w:b/>
          <w:i/>
          <w:color w:val="6F2F9F"/>
        </w:rPr>
        <w:t xml:space="preserve"> would consider up to a total of £1500 per University financial year (excluding travel and subsistence) as reasonable</w:t>
      </w:r>
      <w:r w:rsidRPr="00A06729">
        <w:rPr>
          <w:b/>
          <w:color w:val="6F2F9F"/>
        </w:rPr>
        <w:t>.</w:t>
      </w:r>
    </w:p>
    <w:p w14:paraId="5D23FC3C" w14:textId="77777777" w:rsidR="00FC302D" w:rsidRPr="00A06729" w:rsidRDefault="00FC302D">
      <w:pPr>
        <w:pStyle w:val="BodyText"/>
        <w:spacing w:before="2"/>
        <w:rPr>
          <w:sz w:val="18"/>
        </w:rPr>
      </w:pPr>
    </w:p>
    <w:p w14:paraId="4890673B" w14:textId="3C8900B8" w:rsidR="00FC302D" w:rsidRPr="00A06729" w:rsidRDefault="00935AEE">
      <w:pPr>
        <w:pStyle w:val="BodyText"/>
        <w:spacing w:line="276" w:lineRule="auto"/>
        <w:ind w:left="112" w:right="669"/>
        <w:jc w:val="both"/>
        <w:rPr>
          <w:sz w:val="22"/>
        </w:rPr>
      </w:pPr>
      <w:r w:rsidRPr="00A06729">
        <w:rPr>
          <w:sz w:val="22"/>
        </w:rPr>
        <w:t xml:space="preserve">When total payments are expected to exceed this amount, please consult with </w:t>
      </w:r>
      <w:r w:rsidR="0076554C">
        <w:rPr>
          <w:sz w:val="22"/>
        </w:rPr>
        <w:t>P&amp;OD</w:t>
      </w:r>
      <w:r w:rsidRPr="00A06729">
        <w:rPr>
          <w:sz w:val="22"/>
        </w:rPr>
        <w:t xml:space="preserve"> Partners. For involvement where </w:t>
      </w:r>
      <w:r w:rsidR="008A4F78" w:rsidRPr="00A06729">
        <w:rPr>
          <w:sz w:val="22"/>
        </w:rPr>
        <w:t>Public C</w:t>
      </w:r>
      <w:r w:rsidRPr="00A06729">
        <w:rPr>
          <w:sz w:val="22"/>
        </w:rPr>
        <w:t>ontributors are invited to act as a co-applicant or research partner, they would be paid as casual staff (subject to PAYE and NI). Similarly, active teaching partners would be paid as casual staff.</w:t>
      </w:r>
    </w:p>
    <w:p w14:paraId="66D52FAD" w14:textId="77777777" w:rsidR="007C3567" w:rsidRPr="00A06729" w:rsidRDefault="007C3567">
      <w:pPr>
        <w:pStyle w:val="BodyText"/>
        <w:spacing w:line="276" w:lineRule="auto"/>
        <w:ind w:left="112" w:right="669"/>
        <w:jc w:val="both"/>
        <w:rPr>
          <w:sz w:val="22"/>
        </w:rPr>
      </w:pPr>
    </w:p>
    <w:p w14:paraId="1B92F99C" w14:textId="20E49A76" w:rsidR="00FC302D" w:rsidRPr="00A06729" w:rsidRDefault="00935AEE">
      <w:pPr>
        <w:pStyle w:val="BodyText"/>
        <w:spacing w:before="1" w:line="276" w:lineRule="auto"/>
        <w:ind w:left="112"/>
        <w:rPr>
          <w:sz w:val="22"/>
        </w:rPr>
      </w:pPr>
      <w:r w:rsidRPr="00A06729">
        <w:rPr>
          <w:sz w:val="22"/>
        </w:rPr>
        <w:t xml:space="preserve">It is advised to consult with </w:t>
      </w:r>
      <w:r w:rsidR="0076554C">
        <w:rPr>
          <w:sz w:val="22"/>
        </w:rPr>
        <w:t>P&amp;OD</w:t>
      </w:r>
      <w:r w:rsidRPr="00A06729">
        <w:rPr>
          <w:sz w:val="22"/>
        </w:rPr>
        <w:t xml:space="preserve"> partners to assess the employment status for any activities that do not fall within involvement or participation.</w:t>
      </w:r>
    </w:p>
    <w:p w14:paraId="707E8F84" w14:textId="77777777" w:rsidR="007C3567" w:rsidRPr="00A06729" w:rsidRDefault="007C3567">
      <w:pPr>
        <w:pStyle w:val="BodyText"/>
        <w:spacing w:before="1" w:line="276" w:lineRule="auto"/>
        <w:ind w:left="112"/>
        <w:rPr>
          <w:sz w:val="22"/>
        </w:rPr>
      </w:pPr>
    </w:p>
    <w:p w14:paraId="42549D7C" w14:textId="0EA1FA4F" w:rsidR="00FC302D" w:rsidRPr="00A06729" w:rsidRDefault="00935AEE" w:rsidP="007C3567">
      <w:pPr>
        <w:pStyle w:val="BodyText"/>
        <w:spacing w:line="229" w:lineRule="exact"/>
        <w:ind w:left="112"/>
        <w:rPr>
          <w:sz w:val="22"/>
        </w:rPr>
      </w:pPr>
      <w:r w:rsidRPr="00A06729">
        <w:rPr>
          <w:sz w:val="22"/>
        </w:rPr>
        <w:t xml:space="preserve">For health research involvement, volunteers may also seek advice from the </w:t>
      </w:r>
      <w:r w:rsidR="00FC1859" w:rsidRPr="00FC1859">
        <w:rPr>
          <w:sz w:val="22"/>
        </w:rPr>
        <w:t>NIHR Centre for Engagement and Dissemination</w:t>
      </w:r>
      <w:r w:rsidRPr="00FC1859">
        <w:rPr>
          <w:sz w:val="22"/>
        </w:rPr>
        <w:t xml:space="preserve"> benefits advice service</w:t>
      </w:r>
      <w:r w:rsidR="0062127F" w:rsidRPr="00A06729">
        <w:rPr>
          <w:sz w:val="22"/>
        </w:rPr>
        <w:t>.</w:t>
      </w:r>
      <w:r w:rsidR="00FC1859">
        <w:rPr>
          <w:sz w:val="22"/>
        </w:rPr>
        <w:t xml:space="preserve"> Contact: </w:t>
      </w:r>
      <w:hyperlink r:id="rId17" w:history="1">
        <w:r w:rsidR="00FC1859" w:rsidRPr="009C3814">
          <w:rPr>
            <w:rStyle w:val="Hyperlink"/>
            <w:sz w:val="22"/>
          </w:rPr>
          <w:t>ced@nihr.ac.uk</w:t>
        </w:r>
      </w:hyperlink>
      <w:r w:rsidR="00FC1859">
        <w:rPr>
          <w:sz w:val="22"/>
        </w:rPr>
        <w:t xml:space="preserve"> </w:t>
      </w:r>
      <w:r w:rsidR="00FC1859" w:rsidRPr="00FC1859">
        <w:rPr>
          <w:sz w:val="22"/>
        </w:rPr>
        <w:t>or call 020 88437117</w:t>
      </w:r>
      <w:r w:rsidR="00FC1859">
        <w:rPr>
          <w:sz w:val="22"/>
        </w:rPr>
        <w:t xml:space="preserve">. </w:t>
      </w:r>
      <w:hyperlink r:id="rId18" w:anchor="Step_4:_How_much_will_it_cost?" w:history="1">
        <w:r w:rsidR="00FC1859" w:rsidRPr="0076554C">
          <w:rPr>
            <w:rStyle w:val="Hyperlink"/>
            <w:sz w:val="22"/>
          </w:rPr>
          <w:t xml:space="preserve">Further details </w:t>
        </w:r>
        <w:r w:rsidR="0076554C" w:rsidRPr="0076554C">
          <w:rPr>
            <w:rStyle w:val="Hyperlink"/>
            <w:sz w:val="22"/>
          </w:rPr>
          <w:t>on their website</w:t>
        </w:r>
      </w:hyperlink>
      <w:r w:rsidR="0076554C">
        <w:rPr>
          <w:sz w:val="22"/>
        </w:rPr>
        <w:t xml:space="preserve">. </w:t>
      </w:r>
    </w:p>
    <w:p w14:paraId="432A727E" w14:textId="77777777" w:rsidR="007C3567" w:rsidRPr="00A06729" w:rsidRDefault="007C3567" w:rsidP="007C3567">
      <w:pPr>
        <w:pStyle w:val="BodyText"/>
        <w:spacing w:line="229" w:lineRule="exact"/>
        <w:ind w:left="112"/>
        <w:rPr>
          <w:sz w:val="22"/>
        </w:rPr>
      </w:pPr>
    </w:p>
    <w:p w14:paraId="4E771A73" w14:textId="673FD25C" w:rsidR="00FC302D" w:rsidRPr="00A06729" w:rsidRDefault="00FC1859">
      <w:pPr>
        <w:pStyle w:val="BodyText"/>
        <w:spacing w:before="34"/>
        <w:ind w:left="112"/>
        <w:rPr>
          <w:sz w:val="22"/>
        </w:rPr>
      </w:pPr>
      <w:r>
        <w:rPr>
          <w:sz w:val="22"/>
        </w:rPr>
        <w:t xml:space="preserve">Click on Welfare benefits (6) in the contents section </w:t>
      </w:r>
      <w:r w:rsidR="00935AEE" w:rsidRPr="00A06729">
        <w:rPr>
          <w:sz w:val="22"/>
        </w:rPr>
        <w:t xml:space="preserve">of </w:t>
      </w:r>
      <w:hyperlink r:id="rId19" w:anchor="Step_4:_How_much_will_it_cost?" w:history="1">
        <w:r>
          <w:rPr>
            <w:rStyle w:val="Hyperlink"/>
            <w:sz w:val="22"/>
          </w:rPr>
          <w:t>NIHR Centre for Engagement and Dissemination guide on Payment for Involvement</w:t>
        </w:r>
      </w:hyperlink>
      <w:r w:rsidR="00D52EAF" w:rsidRPr="00A06729">
        <w:rPr>
          <w:sz w:val="22"/>
        </w:rPr>
        <w:t xml:space="preserve"> for further guidance:</w:t>
      </w:r>
    </w:p>
    <w:p w14:paraId="5A4D5C6F" w14:textId="77777777" w:rsidR="00935AEE" w:rsidRPr="00A06729" w:rsidRDefault="00935AEE">
      <w:pPr>
        <w:pStyle w:val="BodyText"/>
        <w:spacing w:before="34"/>
        <w:ind w:left="112"/>
        <w:rPr>
          <w:sz w:val="22"/>
        </w:rPr>
      </w:pPr>
    </w:p>
    <w:p w14:paraId="4B7A224B" w14:textId="7D68E6C0" w:rsidR="00FC302D" w:rsidRPr="00A06729" w:rsidRDefault="00935AEE">
      <w:pPr>
        <w:pStyle w:val="Heading2"/>
        <w:numPr>
          <w:ilvl w:val="1"/>
          <w:numId w:val="2"/>
        </w:numPr>
        <w:tabs>
          <w:tab w:val="left" w:pos="535"/>
        </w:tabs>
        <w:ind w:hanging="422"/>
        <w:rPr>
          <w:sz w:val="22"/>
        </w:rPr>
      </w:pPr>
      <w:r w:rsidRPr="00A06729">
        <w:rPr>
          <w:color w:val="6F2F9F"/>
          <w:sz w:val="22"/>
        </w:rPr>
        <w:t xml:space="preserve">Paying </w:t>
      </w:r>
      <w:r w:rsidR="004D43DE">
        <w:rPr>
          <w:color w:val="6F2F9F"/>
          <w:sz w:val="22"/>
        </w:rPr>
        <w:t>E</w:t>
      </w:r>
      <w:r w:rsidRPr="00A06729">
        <w:rPr>
          <w:color w:val="6F2F9F"/>
          <w:sz w:val="22"/>
        </w:rPr>
        <w:t>xpenses (</w:t>
      </w:r>
      <w:proofErr w:type="gramStart"/>
      <w:r w:rsidRPr="00A06729">
        <w:rPr>
          <w:color w:val="6F2F9F"/>
          <w:sz w:val="22"/>
        </w:rPr>
        <w:t>e.g.</w:t>
      </w:r>
      <w:proofErr w:type="gramEnd"/>
      <w:r w:rsidRPr="00A06729">
        <w:rPr>
          <w:color w:val="6F2F9F"/>
          <w:sz w:val="22"/>
        </w:rPr>
        <w:t xml:space="preserve"> travel, accommodation etc</w:t>
      </w:r>
      <w:r w:rsidR="0062127F" w:rsidRPr="00A06729">
        <w:rPr>
          <w:color w:val="6F2F9F"/>
          <w:sz w:val="22"/>
        </w:rPr>
        <w:t>.</w:t>
      </w:r>
      <w:r w:rsidRPr="00A06729">
        <w:rPr>
          <w:color w:val="6F2F9F"/>
          <w:sz w:val="22"/>
        </w:rPr>
        <w:t>)</w:t>
      </w:r>
    </w:p>
    <w:p w14:paraId="27826DA4" w14:textId="77777777" w:rsidR="00FC302D" w:rsidRPr="00A06729" w:rsidRDefault="00FC302D">
      <w:pPr>
        <w:pStyle w:val="BodyText"/>
        <w:spacing w:before="10"/>
        <w:rPr>
          <w:b/>
          <w:sz w:val="28"/>
        </w:rPr>
      </w:pPr>
    </w:p>
    <w:p w14:paraId="51B4F09D" w14:textId="52EABEA8" w:rsidR="00FC302D" w:rsidRPr="00A06729" w:rsidRDefault="00FC1859" w:rsidP="00FC1859">
      <w:pPr>
        <w:pStyle w:val="ListParagraph"/>
        <w:numPr>
          <w:ilvl w:val="2"/>
          <w:numId w:val="2"/>
        </w:numPr>
        <w:tabs>
          <w:tab w:val="left" w:pos="820"/>
          <w:tab w:val="left" w:pos="821"/>
        </w:tabs>
        <w:ind w:right="671"/>
      </w:pPr>
      <w:r w:rsidRPr="00FC1859">
        <w:t xml:space="preserve">NIHR Centre for Engagement and Dissemination </w:t>
      </w:r>
      <w:r w:rsidR="00935AEE" w:rsidRPr="00A06729">
        <w:t xml:space="preserve">has a useful </w:t>
      </w:r>
      <w:hyperlink r:id="rId20" w:history="1">
        <w:r w:rsidR="00935AEE" w:rsidRPr="00A06729">
          <w:rPr>
            <w:rStyle w:val="Hyperlink"/>
          </w:rPr>
          <w:t>Involvement Cost Calculator</w:t>
        </w:r>
      </w:hyperlink>
      <w:r w:rsidR="00935AEE" w:rsidRPr="00A06729">
        <w:rPr>
          <w:color w:val="0000FF"/>
        </w:rPr>
        <w:t xml:space="preserve"> </w:t>
      </w:r>
    </w:p>
    <w:p w14:paraId="257F8E2E" w14:textId="1FBD24A1" w:rsidR="00FC302D" w:rsidRPr="00A06729" w:rsidRDefault="00935AEE" w:rsidP="00D52EAF">
      <w:pPr>
        <w:pStyle w:val="ListParagraph"/>
        <w:numPr>
          <w:ilvl w:val="2"/>
          <w:numId w:val="2"/>
        </w:numPr>
        <w:tabs>
          <w:tab w:val="left" w:pos="820"/>
          <w:tab w:val="left" w:pos="821"/>
        </w:tabs>
        <w:spacing w:before="1"/>
        <w:ind w:right="673"/>
      </w:pPr>
      <w:r w:rsidRPr="00A06729">
        <w:t xml:space="preserve">The </w:t>
      </w:r>
      <w:r w:rsidR="007C3567" w:rsidRPr="00A06729">
        <w:t>Social Responsibility and Public Engagement</w:t>
      </w:r>
      <w:r w:rsidRPr="00A06729">
        <w:t xml:space="preserve"> </w:t>
      </w:r>
      <w:r w:rsidR="007C3567" w:rsidRPr="00A06729">
        <w:t xml:space="preserve">Team </w:t>
      </w:r>
      <w:r w:rsidRPr="00A06729">
        <w:t xml:space="preserve">has a </w:t>
      </w:r>
      <w:hyperlink r:id="rId21" w:history="1">
        <w:r w:rsidRPr="0076554C">
          <w:rPr>
            <w:rStyle w:val="Hyperlink"/>
          </w:rPr>
          <w:t xml:space="preserve">Faculty cost calculator </w:t>
        </w:r>
        <w:r w:rsidR="00D52EAF" w:rsidRPr="0076554C">
          <w:rPr>
            <w:rStyle w:val="Hyperlink"/>
          </w:rPr>
          <w:t>available</w:t>
        </w:r>
      </w:hyperlink>
      <w:r w:rsidR="0062127F" w:rsidRPr="00A06729">
        <w:t>.</w:t>
      </w:r>
      <w:r w:rsidR="00D52EAF" w:rsidRPr="00A06729">
        <w:t xml:space="preserve"> </w:t>
      </w:r>
    </w:p>
    <w:p w14:paraId="297E37B4" w14:textId="77777777" w:rsidR="00FC302D" w:rsidRPr="00A06729" w:rsidRDefault="00935AEE">
      <w:pPr>
        <w:pStyle w:val="ListParagraph"/>
        <w:numPr>
          <w:ilvl w:val="2"/>
          <w:numId w:val="2"/>
        </w:numPr>
        <w:tabs>
          <w:tab w:val="left" w:pos="820"/>
          <w:tab w:val="left" w:pos="821"/>
        </w:tabs>
        <w:ind w:right="678" w:hanging="360"/>
      </w:pPr>
      <w:r w:rsidRPr="00A06729">
        <w:t>All reasonable ‘out-of-pocket’ expenses for people being involved in research and teaching should be covered, subject to budget-holder</w:t>
      </w:r>
      <w:r w:rsidRPr="00A06729">
        <w:rPr>
          <w:spacing w:val="-4"/>
        </w:rPr>
        <w:t xml:space="preserve"> </w:t>
      </w:r>
      <w:proofErr w:type="gramStart"/>
      <w:r w:rsidRPr="00A06729">
        <w:t>approval</w:t>
      </w:r>
      <w:proofErr w:type="gramEnd"/>
    </w:p>
    <w:p w14:paraId="6A2BC8AF" w14:textId="4B9CDA69" w:rsidR="00FC302D" w:rsidRPr="00A06729" w:rsidRDefault="00935AEE">
      <w:pPr>
        <w:pStyle w:val="ListParagraph"/>
        <w:numPr>
          <w:ilvl w:val="2"/>
          <w:numId w:val="2"/>
        </w:numPr>
        <w:tabs>
          <w:tab w:val="left" w:pos="820"/>
          <w:tab w:val="left" w:pos="821"/>
        </w:tabs>
        <w:ind w:right="681" w:hanging="360"/>
      </w:pPr>
      <w:r w:rsidRPr="00A06729">
        <w:t>Wherever possible, offer to pre-book travel for convenience using the University’s travel booking system. This can often provide the cheapest travel</w:t>
      </w:r>
      <w:r w:rsidRPr="00A06729">
        <w:rPr>
          <w:spacing w:val="-10"/>
        </w:rPr>
        <w:t xml:space="preserve"> </w:t>
      </w:r>
      <w:r w:rsidRPr="00A06729">
        <w:t>options</w:t>
      </w:r>
      <w:r w:rsidR="00490FD0">
        <w:t>.</w:t>
      </w:r>
    </w:p>
    <w:p w14:paraId="2CBEC8AD" w14:textId="322DFD86" w:rsidR="00FC302D" w:rsidRPr="00A06729" w:rsidRDefault="00935AEE" w:rsidP="001B4905">
      <w:pPr>
        <w:pStyle w:val="ListParagraph"/>
        <w:numPr>
          <w:ilvl w:val="2"/>
          <w:numId w:val="2"/>
        </w:numPr>
        <w:tabs>
          <w:tab w:val="left" w:pos="820"/>
          <w:tab w:val="left" w:pos="821"/>
        </w:tabs>
        <w:spacing w:before="1"/>
        <w:ind w:right="742"/>
      </w:pPr>
      <w:r w:rsidRPr="00A06729">
        <w:t xml:space="preserve">The </w:t>
      </w:r>
      <w:hyperlink r:id="rId22" w:history="1">
        <w:r w:rsidRPr="00A06729">
          <w:rPr>
            <w:rStyle w:val="Hyperlink"/>
          </w:rPr>
          <w:t>University’s travel policy</w:t>
        </w:r>
      </w:hyperlink>
      <w:r w:rsidRPr="00A06729">
        <w:rPr>
          <w:color w:val="0000FF"/>
        </w:rPr>
        <w:t xml:space="preserve"> </w:t>
      </w:r>
      <w:r w:rsidRPr="00A06729">
        <w:t>should be referenced when deciding on allowable travel costs (</w:t>
      </w:r>
      <w:proofErr w:type="gramStart"/>
      <w:r w:rsidRPr="00A06729">
        <w:t>e.g.</w:t>
      </w:r>
      <w:proofErr w:type="gramEnd"/>
      <w:r w:rsidRPr="00A06729">
        <w:t xml:space="preserve"> use of taxis) and individual needs</w:t>
      </w:r>
      <w:r w:rsidRPr="00A06729">
        <w:rPr>
          <w:spacing w:val="-22"/>
        </w:rPr>
        <w:t xml:space="preserve"> </w:t>
      </w:r>
      <w:r w:rsidRPr="00A06729">
        <w:t>considered</w:t>
      </w:r>
    </w:p>
    <w:p w14:paraId="2E256C4A" w14:textId="134EBDA6" w:rsidR="00FC302D" w:rsidRPr="00A06729" w:rsidRDefault="00935AEE">
      <w:pPr>
        <w:pStyle w:val="ListParagraph"/>
        <w:numPr>
          <w:ilvl w:val="2"/>
          <w:numId w:val="2"/>
        </w:numPr>
        <w:tabs>
          <w:tab w:val="left" w:pos="820"/>
          <w:tab w:val="left" w:pos="821"/>
        </w:tabs>
        <w:spacing w:line="228" w:lineRule="exact"/>
        <w:ind w:hanging="360"/>
      </w:pPr>
      <w:r w:rsidRPr="00A06729">
        <w:lastRenderedPageBreak/>
        <w:t xml:space="preserve">If training is required for a Public </w:t>
      </w:r>
      <w:proofErr w:type="gramStart"/>
      <w:r w:rsidRPr="00A06729">
        <w:t>Contributor</w:t>
      </w:r>
      <w:proofErr w:type="gramEnd"/>
      <w:r w:rsidRPr="00A06729">
        <w:t xml:space="preserve"> then the cost should also be</w:t>
      </w:r>
      <w:r w:rsidRPr="00A06729">
        <w:rPr>
          <w:spacing w:val="-7"/>
        </w:rPr>
        <w:t xml:space="preserve"> </w:t>
      </w:r>
      <w:r w:rsidRPr="00A06729">
        <w:t>covered</w:t>
      </w:r>
    </w:p>
    <w:p w14:paraId="4ECE40C0" w14:textId="72054BBD" w:rsidR="00D36C0F" w:rsidRPr="00A06729" w:rsidRDefault="00D36C0F" w:rsidP="00D36C0F">
      <w:pPr>
        <w:pStyle w:val="ListParagraph"/>
        <w:numPr>
          <w:ilvl w:val="2"/>
          <w:numId w:val="2"/>
        </w:numPr>
        <w:tabs>
          <w:tab w:val="left" w:pos="820"/>
          <w:tab w:val="left" w:pos="821"/>
        </w:tabs>
        <w:spacing w:line="228" w:lineRule="exact"/>
      </w:pPr>
      <w:r w:rsidRPr="00A06729">
        <w:t>Public Contributors can also receive £5</w:t>
      </w:r>
      <w:r w:rsidR="00392298">
        <w:t xml:space="preserve"> contribution</w:t>
      </w:r>
      <w:r w:rsidRPr="00A06729">
        <w:t xml:space="preserve"> towards remote working costs including telephone or internet costs</w:t>
      </w:r>
      <w:r w:rsidR="00392298">
        <w:t xml:space="preserve"> in lieu of travel costs while working remotely</w:t>
      </w:r>
      <w:r w:rsidRPr="00A06729">
        <w:t xml:space="preserve">. This is based on </w:t>
      </w:r>
      <w:hyperlink r:id="rId23" w:history="1">
        <w:r w:rsidRPr="00A06729">
          <w:rPr>
            <w:rStyle w:val="Hyperlink"/>
          </w:rPr>
          <w:t>NIHR Centre for Engagement and Dissemination recognition payments for Public Contributors</w:t>
        </w:r>
      </w:hyperlink>
      <w:r w:rsidRPr="00A06729">
        <w:t xml:space="preserve"> guide.</w:t>
      </w:r>
    </w:p>
    <w:p w14:paraId="6CB82BBF" w14:textId="77777777" w:rsidR="00FC302D" w:rsidRPr="00A06729" w:rsidRDefault="00FC302D">
      <w:pPr>
        <w:pStyle w:val="BodyText"/>
        <w:rPr>
          <w:sz w:val="24"/>
        </w:rPr>
      </w:pPr>
    </w:p>
    <w:p w14:paraId="7073288F" w14:textId="48BA3F5D" w:rsidR="00FC302D" w:rsidRPr="00A06729" w:rsidRDefault="00935AEE">
      <w:pPr>
        <w:spacing w:line="278" w:lineRule="auto"/>
        <w:ind w:left="112" w:right="665"/>
      </w:pPr>
      <w:r w:rsidRPr="00A06729">
        <w:t xml:space="preserve">Reimbursement should be prompt as realistically possible. </w:t>
      </w:r>
      <w:r w:rsidRPr="00A06729">
        <w:rPr>
          <w:b/>
          <w:color w:val="6F2F9F"/>
        </w:rPr>
        <w:t>Ideally, try to arrange payment on the day</w:t>
      </w:r>
      <w:r w:rsidR="00490FD0">
        <w:rPr>
          <w:b/>
          <w:color w:val="6F2F9F"/>
        </w:rPr>
        <w:t xml:space="preserve"> if it is an </w:t>
      </w:r>
      <w:proofErr w:type="gramStart"/>
      <w:r w:rsidR="00490FD0">
        <w:rPr>
          <w:b/>
          <w:color w:val="6F2F9F"/>
        </w:rPr>
        <w:t>in person</w:t>
      </w:r>
      <w:proofErr w:type="gramEnd"/>
      <w:r w:rsidR="00490FD0">
        <w:rPr>
          <w:b/>
          <w:color w:val="6F2F9F"/>
        </w:rPr>
        <w:t xml:space="preserve"> meeting</w:t>
      </w:r>
      <w:r w:rsidRPr="00A06729">
        <w:t>. Delays in payment can cause a prohibitive barrier. See Section C.1 below.</w:t>
      </w:r>
    </w:p>
    <w:p w14:paraId="0CE7DEA1" w14:textId="6E92EEEC" w:rsidR="00FC302D" w:rsidRPr="00A06729" w:rsidRDefault="00935AEE">
      <w:pPr>
        <w:pStyle w:val="Heading2"/>
        <w:numPr>
          <w:ilvl w:val="1"/>
          <w:numId w:val="2"/>
        </w:numPr>
        <w:tabs>
          <w:tab w:val="left" w:pos="532"/>
        </w:tabs>
        <w:spacing w:before="194"/>
        <w:ind w:left="531" w:hanging="419"/>
        <w:rPr>
          <w:sz w:val="22"/>
        </w:rPr>
      </w:pPr>
      <w:r w:rsidRPr="00A06729">
        <w:rPr>
          <w:color w:val="6F2F9F"/>
          <w:sz w:val="22"/>
        </w:rPr>
        <w:t xml:space="preserve">Working </w:t>
      </w:r>
      <w:r w:rsidR="004D43DE">
        <w:rPr>
          <w:color w:val="6F2F9F"/>
          <w:sz w:val="22"/>
        </w:rPr>
        <w:t>A</w:t>
      </w:r>
      <w:r w:rsidRPr="00A06729">
        <w:rPr>
          <w:color w:val="6F2F9F"/>
          <w:sz w:val="22"/>
        </w:rPr>
        <w:t xml:space="preserve">cross </w:t>
      </w:r>
      <w:r w:rsidR="004D43DE">
        <w:rPr>
          <w:color w:val="6F2F9F"/>
          <w:sz w:val="22"/>
        </w:rPr>
        <w:t>I</w:t>
      </w:r>
      <w:r w:rsidRPr="00A06729">
        <w:rPr>
          <w:color w:val="6F2F9F"/>
          <w:sz w:val="22"/>
        </w:rPr>
        <w:t>nstitutions</w:t>
      </w:r>
    </w:p>
    <w:p w14:paraId="36547086" w14:textId="77777777" w:rsidR="00FC302D" w:rsidRPr="00A06729" w:rsidRDefault="00FC302D">
      <w:pPr>
        <w:pStyle w:val="BodyText"/>
        <w:spacing w:before="1"/>
        <w:rPr>
          <w:b/>
          <w:sz w:val="28"/>
        </w:rPr>
      </w:pPr>
    </w:p>
    <w:p w14:paraId="606D9AB2" w14:textId="4D11AA79" w:rsidR="007C3567" w:rsidRPr="00A06729" w:rsidRDefault="00935AEE" w:rsidP="007C3567">
      <w:pPr>
        <w:pStyle w:val="BodyText"/>
        <w:rPr>
          <w:sz w:val="22"/>
        </w:rPr>
      </w:pPr>
      <w:r w:rsidRPr="00A06729">
        <w:rPr>
          <w:sz w:val="22"/>
        </w:rPr>
        <w:t>When working across different host organisations (</w:t>
      </w:r>
      <w:proofErr w:type="gramStart"/>
      <w:r w:rsidRPr="00A06729">
        <w:rPr>
          <w:sz w:val="22"/>
        </w:rPr>
        <w:t>e.g.</w:t>
      </w:r>
      <w:proofErr w:type="gramEnd"/>
      <w:r w:rsidRPr="00A06729">
        <w:rPr>
          <w:sz w:val="22"/>
        </w:rPr>
        <w:t xml:space="preserve"> University, NHS Trust, etc) or research organisations (e.g. the NIHR research networks), you might need to comply with their involvement requirements.</w:t>
      </w:r>
      <w:r w:rsidR="004F75E4">
        <w:rPr>
          <w:sz w:val="22"/>
        </w:rPr>
        <w:t xml:space="preserve"> </w:t>
      </w:r>
      <w:r w:rsidR="007C3567" w:rsidRPr="00A06729">
        <w:rPr>
          <w:sz w:val="22"/>
        </w:rPr>
        <w:t>Useful</w:t>
      </w:r>
      <w:r w:rsidR="004F75E4">
        <w:rPr>
          <w:sz w:val="22"/>
        </w:rPr>
        <w:t xml:space="preserve"> </w:t>
      </w:r>
      <w:r w:rsidR="007C3567" w:rsidRPr="00A06729">
        <w:rPr>
          <w:sz w:val="22"/>
        </w:rPr>
        <w:t xml:space="preserve">guidance can be found </w:t>
      </w:r>
      <w:hyperlink r:id="rId24" w:history="1">
        <w:r w:rsidR="00490FD0">
          <w:rPr>
            <w:rStyle w:val="Hyperlink"/>
            <w:sz w:val="22"/>
          </w:rPr>
          <w:t>on the Mental Health Research Network (MHRN) website</w:t>
        </w:r>
      </w:hyperlink>
      <w:r w:rsidR="0062127F" w:rsidRPr="00A06729">
        <w:rPr>
          <w:sz w:val="22"/>
        </w:rPr>
        <w:t>.</w:t>
      </w:r>
    </w:p>
    <w:p w14:paraId="60221BE0" w14:textId="77777777" w:rsidR="007C3567" w:rsidRPr="00A06729" w:rsidRDefault="007C3567" w:rsidP="007C3567">
      <w:pPr>
        <w:pStyle w:val="BodyText"/>
        <w:rPr>
          <w:sz w:val="22"/>
        </w:rPr>
      </w:pPr>
    </w:p>
    <w:p w14:paraId="2DAF5476" w14:textId="77777777" w:rsidR="00FC302D" w:rsidRPr="00A06729" w:rsidRDefault="00935AEE" w:rsidP="00D02651">
      <w:pPr>
        <w:tabs>
          <w:tab w:val="left" w:pos="832"/>
          <w:tab w:val="left" w:pos="833"/>
        </w:tabs>
        <w:spacing w:before="2"/>
      </w:pPr>
      <w:r w:rsidRPr="00A06729">
        <w:t>Contact your research office in your host organisation for advice on working across different</w:t>
      </w:r>
      <w:r w:rsidRPr="00A06729">
        <w:rPr>
          <w:spacing w:val="-22"/>
        </w:rPr>
        <w:t xml:space="preserve"> </w:t>
      </w:r>
      <w:r w:rsidRPr="00A06729">
        <w:t>institutions.</w:t>
      </w:r>
    </w:p>
    <w:p w14:paraId="00CD7FAE" w14:textId="77777777" w:rsidR="00754C6E" w:rsidRPr="00A06729" w:rsidRDefault="00754C6E" w:rsidP="00754C6E">
      <w:pPr>
        <w:pStyle w:val="ListParagraph"/>
        <w:tabs>
          <w:tab w:val="left" w:pos="832"/>
          <w:tab w:val="left" w:pos="833"/>
        </w:tabs>
        <w:spacing w:before="2"/>
        <w:ind w:left="832" w:firstLine="0"/>
      </w:pPr>
    </w:p>
    <w:p w14:paraId="794A4B5A" w14:textId="425801CE" w:rsidR="00FC302D" w:rsidRPr="00A06729" w:rsidRDefault="00935AEE">
      <w:pPr>
        <w:pStyle w:val="Heading2"/>
        <w:numPr>
          <w:ilvl w:val="1"/>
          <w:numId w:val="1"/>
        </w:numPr>
        <w:tabs>
          <w:tab w:val="left" w:pos="532"/>
        </w:tabs>
        <w:spacing w:before="0"/>
        <w:rPr>
          <w:sz w:val="22"/>
        </w:rPr>
      </w:pPr>
      <w:r w:rsidRPr="00A06729">
        <w:rPr>
          <w:color w:val="6F2F9F"/>
          <w:sz w:val="22"/>
        </w:rPr>
        <w:t xml:space="preserve">How </w:t>
      </w:r>
      <w:r w:rsidR="004D43DE">
        <w:rPr>
          <w:color w:val="6F2F9F"/>
          <w:sz w:val="22"/>
        </w:rPr>
        <w:t>M</w:t>
      </w:r>
      <w:r w:rsidRPr="00A06729">
        <w:rPr>
          <w:color w:val="6F2F9F"/>
          <w:sz w:val="22"/>
        </w:rPr>
        <w:t xml:space="preserve">uch </w:t>
      </w:r>
      <w:r w:rsidR="004D43DE">
        <w:rPr>
          <w:color w:val="6F2F9F"/>
          <w:sz w:val="22"/>
        </w:rPr>
        <w:t>C</w:t>
      </w:r>
      <w:r w:rsidRPr="00A06729">
        <w:rPr>
          <w:color w:val="6F2F9F"/>
          <w:sz w:val="22"/>
        </w:rPr>
        <w:t xml:space="preserve">an I </w:t>
      </w:r>
      <w:r w:rsidR="004D43DE">
        <w:rPr>
          <w:color w:val="6F2F9F"/>
          <w:sz w:val="22"/>
        </w:rPr>
        <w:t>P</w:t>
      </w:r>
      <w:r w:rsidRPr="00A06729">
        <w:rPr>
          <w:color w:val="6F2F9F"/>
          <w:sz w:val="22"/>
        </w:rPr>
        <w:t xml:space="preserve">ay for </w:t>
      </w:r>
      <w:r w:rsidR="004D43DE">
        <w:rPr>
          <w:color w:val="6F2F9F"/>
          <w:sz w:val="22"/>
        </w:rPr>
        <w:t>R</w:t>
      </w:r>
      <w:r w:rsidRPr="00A06729">
        <w:rPr>
          <w:color w:val="6F2F9F"/>
          <w:sz w:val="22"/>
        </w:rPr>
        <w:t xml:space="preserve">esearch </w:t>
      </w:r>
      <w:r w:rsidR="004D43DE">
        <w:rPr>
          <w:color w:val="6F2F9F"/>
          <w:sz w:val="22"/>
        </w:rPr>
        <w:t>P</w:t>
      </w:r>
      <w:r w:rsidRPr="00A06729">
        <w:rPr>
          <w:color w:val="6F2F9F"/>
          <w:sz w:val="22"/>
        </w:rPr>
        <w:t>articipation?</w:t>
      </w:r>
    </w:p>
    <w:p w14:paraId="3239C63D" w14:textId="77777777" w:rsidR="00FC302D" w:rsidRPr="00A06729" w:rsidRDefault="00FC302D">
      <w:pPr>
        <w:pStyle w:val="BodyText"/>
        <w:spacing w:before="1"/>
        <w:rPr>
          <w:b/>
          <w:sz w:val="28"/>
        </w:rPr>
      </w:pPr>
    </w:p>
    <w:p w14:paraId="6D76E674" w14:textId="64789F33" w:rsidR="00FC302D" w:rsidRPr="00A06729" w:rsidRDefault="00935AEE" w:rsidP="00D02651">
      <w:pPr>
        <w:tabs>
          <w:tab w:val="left" w:pos="833"/>
        </w:tabs>
        <w:spacing w:before="1" w:line="276" w:lineRule="auto"/>
        <w:ind w:right="678"/>
        <w:jc w:val="both"/>
      </w:pPr>
      <w:r w:rsidRPr="00A06729">
        <w:t xml:space="preserve">The usual amount paid should be commensurate with the participation; enough to cover out of office expenses and time compensation. Please contact the </w:t>
      </w:r>
      <w:hyperlink r:id="rId25" w:history="1">
        <w:r w:rsidRPr="00A06729">
          <w:rPr>
            <w:rStyle w:val="Hyperlink"/>
          </w:rPr>
          <w:t>Faculty</w:t>
        </w:r>
        <w:r w:rsidR="00490FD0">
          <w:rPr>
            <w:rStyle w:val="Hyperlink"/>
          </w:rPr>
          <w:t>’s</w:t>
        </w:r>
        <w:r w:rsidRPr="00A06729">
          <w:rPr>
            <w:rStyle w:val="Hyperlink"/>
          </w:rPr>
          <w:t xml:space="preserve"> Research Governance team</w:t>
        </w:r>
      </w:hyperlink>
      <w:r w:rsidRPr="00A06729">
        <w:t xml:space="preserve"> for further advice</w:t>
      </w:r>
      <w:r w:rsidR="0062127F" w:rsidRPr="00A06729">
        <w:t>.</w:t>
      </w:r>
    </w:p>
    <w:p w14:paraId="0573D73F" w14:textId="77777777" w:rsidR="00FC302D" w:rsidRPr="00A06729" w:rsidRDefault="00FC302D">
      <w:pPr>
        <w:pStyle w:val="BodyText"/>
        <w:spacing w:before="9"/>
        <w:rPr>
          <w:sz w:val="16"/>
        </w:rPr>
      </w:pPr>
    </w:p>
    <w:p w14:paraId="48153CF7" w14:textId="3DBFDB26" w:rsidR="00FC302D" w:rsidRPr="00A06729" w:rsidRDefault="00935AEE">
      <w:pPr>
        <w:pStyle w:val="Heading2"/>
        <w:numPr>
          <w:ilvl w:val="0"/>
          <w:numId w:val="4"/>
        </w:numPr>
        <w:tabs>
          <w:tab w:val="left" w:pos="472"/>
        </w:tabs>
        <w:rPr>
          <w:sz w:val="22"/>
        </w:rPr>
      </w:pPr>
      <w:r w:rsidRPr="00A06729">
        <w:rPr>
          <w:color w:val="6F2F9F"/>
          <w:sz w:val="22"/>
        </w:rPr>
        <w:t xml:space="preserve">How </w:t>
      </w:r>
      <w:r w:rsidR="004D43DE">
        <w:rPr>
          <w:color w:val="6F2F9F"/>
          <w:sz w:val="22"/>
        </w:rPr>
        <w:t>D</w:t>
      </w:r>
      <w:r w:rsidRPr="00A06729">
        <w:rPr>
          <w:color w:val="6F2F9F"/>
          <w:sz w:val="22"/>
        </w:rPr>
        <w:t xml:space="preserve">o I </w:t>
      </w:r>
      <w:r w:rsidR="004D43DE">
        <w:rPr>
          <w:color w:val="6F2F9F"/>
          <w:sz w:val="22"/>
        </w:rPr>
        <w:t>P</w:t>
      </w:r>
      <w:r w:rsidRPr="00A06729">
        <w:rPr>
          <w:color w:val="6F2F9F"/>
          <w:sz w:val="22"/>
        </w:rPr>
        <w:t>ay</w:t>
      </w:r>
      <w:r w:rsidRPr="00A06729">
        <w:rPr>
          <w:color w:val="6F2F9F"/>
          <w:spacing w:val="-3"/>
          <w:sz w:val="22"/>
        </w:rPr>
        <w:t xml:space="preserve"> </w:t>
      </w:r>
      <w:r w:rsidR="004D43DE">
        <w:rPr>
          <w:color w:val="6F2F9F"/>
          <w:sz w:val="22"/>
        </w:rPr>
        <w:t>P</w:t>
      </w:r>
      <w:r w:rsidRPr="00A06729">
        <w:rPr>
          <w:color w:val="6F2F9F"/>
          <w:sz w:val="22"/>
        </w:rPr>
        <w:t>eople?</w:t>
      </w:r>
    </w:p>
    <w:p w14:paraId="71D0A898" w14:textId="77777777" w:rsidR="00FC302D" w:rsidRPr="00A06729" w:rsidRDefault="00FC302D">
      <w:pPr>
        <w:pStyle w:val="BodyText"/>
        <w:spacing w:before="4"/>
        <w:rPr>
          <w:b/>
          <w:sz w:val="28"/>
        </w:rPr>
      </w:pPr>
    </w:p>
    <w:p w14:paraId="6CE0B964" w14:textId="4323843D" w:rsidR="00FC302D" w:rsidRPr="00A06729" w:rsidRDefault="00935AEE">
      <w:pPr>
        <w:pStyle w:val="BodyText"/>
        <w:ind w:left="112"/>
        <w:rPr>
          <w:sz w:val="22"/>
        </w:rPr>
      </w:pPr>
      <w:r w:rsidRPr="00A06729">
        <w:rPr>
          <w:sz w:val="22"/>
        </w:rPr>
        <w:t xml:space="preserve">The </w:t>
      </w:r>
      <w:proofErr w:type="gramStart"/>
      <w:r w:rsidRPr="00A06729">
        <w:rPr>
          <w:sz w:val="22"/>
        </w:rPr>
        <w:t>Faculty</w:t>
      </w:r>
      <w:proofErr w:type="gramEnd"/>
      <w:r w:rsidRPr="00A06729">
        <w:rPr>
          <w:sz w:val="22"/>
        </w:rPr>
        <w:t xml:space="preserve"> has a range of ways to pay people</w:t>
      </w:r>
      <w:r w:rsidR="00A06729" w:rsidRPr="00A06729">
        <w:rPr>
          <w:sz w:val="22"/>
        </w:rPr>
        <w:t xml:space="preserve"> for face-to-face and remote/online activities</w:t>
      </w:r>
      <w:r w:rsidR="00AA1465" w:rsidRPr="00A06729">
        <w:rPr>
          <w:sz w:val="22"/>
        </w:rPr>
        <w:t>. See below for further details:</w:t>
      </w:r>
    </w:p>
    <w:p w14:paraId="04351A02" w14:textId="77777777" w:rsidR="00FC302D" w:rsidRPr="00A06729" w:rsidRDefault="00FC302D">
      <w:pPr>
        <w:pStyle w:val="BodyText"/>
        <w:rPr>
          <w:sz w:val="22"/>
        </w:rPr>
      </w:pPr>
    </w:p>
    <w:p w14:paraId="043368C4" w14:textId="37E5C614" w:rsidR="00FC302D" w:rsidRPr="00A06729" w:rsidRDefault="00935AEE">
      <w:pPr>
        <w:pStyle w:val="Heading2"/>
        <w:spacing w:before="1"/>
        <w:rPr>
          <w:sz w:val="22"/>
        </w:rPr>
      </w:pPr>
      <w:r w:rsidRPr="00A06729">
        <w:rPr>
          <w:color w:val="6F2F9F"/>
          <w:sz w:val="22"/>
        </w:rPr>
        <w:t xml:space="preserve">C.1. How to </w:t>
      </w:r>
      <w:r w:rsidR="004D43DE">
        <w:rPr>
          <w:color w:val="6F2F9F"/>
          <w:sz w:val="22"/>
        </w:rPr>
        <w:t>P</w:t>
      </w:r>
      <w:r w:rsidRPr="00A06729">
        <w:rPr>
          <w:color w:val="6F2F9F"/>
          <w:sz w:val="22"/>
        </w:rPr>
        <w:t xml:space="preserve">ay </w:t>
      </w:r>
      <w:r w:rsidR="004D43DE">
        <w:rPr>
          <w:color w:val="6F2F9F"/>
          <w:sz w:val="22"/>
        </w:rPr>
        <w:t>F</w:t>
      </w:r>
      <w:r w:rsidRPr="00A06729">
        <w:rPr>
          <w:color w:val="6F2F9F"/>
          <w:sz w:val="22"/>
        </w:rPr>
        <w:t xml:space="preserve">ees and </w:t>
      </w:r>
      <w:r w:rsidR="004D43DE">
        <w:rPr>
          <w:color w:val="6F2F9F"/>
          <w:sz w:val="22"/>
        </w:rPr>
        <w:t>E</w:t>
      </w:r>
      <w:r w:rsidRPr="00A06729">
        <w:rPr>
          <w:color w:val="6F2F9F"/>
          <w:sz w:val="22"/>
        </w:rPr>
        <w:t>xpenses</w:t>
      </w:r>
    </w:p>
    <w:p w14:paraId="4346D6DC" w14:textId="77777777" w:rsidR="00FC302D" w:rsidRPr="00A06729" w:rsidRDefault="00FC302D">
      <w:pPr>
        <w:pStyle w:val="BodyText"/>
        <w:spacing w:before="7"/>
        <w:rPr>
          <w:b/>
          <w:sz w:val="22"/>
        </w:rPr>
      </w:pPr>
    </w:p>
    <w:p w14:paraId="0FAD7D7B" w14:textId="477C1BAA" w:rsidR="00FC302D" w:rsidRPr="00A06729" w:rsidRDefault="00935AEE">
      <w:pPr>
        <w:pStyle w:val="BodyText"/>
        <w:spacing w:before="1" w:line="276" w:lineRule="auto"/>
        <w:ind w:left="112" w:right="674"/>
        <w:rPr>
          <w:sz w:val="22"/>
        </w:rPr>
      </w:pPr>
      <w:r w:rsidRPr="00A06729">
        <w:rPr>
          <w:sz w:val="22"/>
        </w:rPr>
        <w:t>Staff are discouraged from reimbursing people from their own pockets and should always consider the options below.</w:t>
      </w:r>
    </w:p>
    <w:p w14:paraId="3E9D76A8" w14:textId="02805EF8" w:rsidR="00FC302D" w:rsidRPr="00A06729" w:rsidRDefault="00935AEE" w:rsidP="00490FD0">
      <w:pPr>
        <w:pStyle w:val="Heading2"/>
        <w:spacing w:before="195"/>
        <w:rPr>
          <w:b w:val="0"/>
          <w:sz w:val="22"/>
        </w:rPr>
      </w:pPr>
      <w:r w:rsidRPr="00A06729">
        <w:rPr>
          <w:color w:val="6F2F9F"/>
          <w:sz w:val="22"/>
        </w:rPr>
        <w:t xml:space="preserve">C1.1. PR20 </w:t>
      </w:r>
      <w:r w:rsidR="004D43DE">
        <w:rPr>
          <w:color w:val="6F2F9F"/>
          <w:sz w:val="22"/>
        </w:rPr>
        <w:t>F</w:t>
      </w:r>
      <w:r w:rsidRPr="00A06729">
        <w:rPr>
          <w:color w:val="6F2F9F"/>
          <w:sz w:val="22"/>
        </w:rPr>
        <w:t xml:space="preserve">orm </w:t>
      </w:r>
      <w:r w:rsidR="004D43DE">
        <w:rPr>
          <w:color w:val="6F2F9F"/>
          <w:sz w:val="22"/>
        </w:rPr>
        <w:t>P</w:t>
      </w:r>
      <w:r w:rsidRPr="00A06729">
        <w:rPr>
          <w:color w:val="6F2F9F"/>
          <w:sz w:val="22"/>
        </w:rPr>
        <w:t>ayment</w:t>
      </w:r>
    </w:p>
    <w:p w14:paraId="5A439CF8" w14:textId="10BF923E" w:rsidR="00273558" w:rsidRPr="00273558" w:rsidRDefault="00273558" w:rsidP="00273558">
      <w:pPr>
        <w:pStyle w:val="BodyText"/>
        <w:spacing w:before="197" w:line="276" w:lineRule="auto"/>
        <w:ind w:left="112" w:right="895"/>
        <w:rPr>
          <w:b/>
          <w:sz w:val="22"/>
        </w:rPr>
      </w:pPr>
      <w:r w:rsidRPr="00273558">
        <w:rPr>
          <w:b/>
          <w:sz w:val="22"/>
        </w:rPr>
        <w:t>Please note: This is the preferred payment option for paying Public Contributors who are remote working.</w:t>
      </w:r>
      <w:r>
        <w:rPr>
          <w:b/>
          <w:sz w:val="22"/>
        </w:rPr>
        <w:t xml:space="preserve"> Both fees and expenses can be processed via this route. </w:t>
      </w:r>
    </w:p>
    <w:p w14:paraId="31DCA1DA" w14:textId="77777777" w:rsidR="00273558" w:rsidRDefault="00273558" w:rsidP="007C3567">
      <w:pPr>
        <w:pStyle w:val="BodyText"/>
        <w:spacing w:line="276" w:lineRule="auto"/>
        <w:ind w:left="112" w:right="697"/>
        <w:rPr>
          <w:sz w:val="22"/>
        </w:rPr>
      </w:pPr>
    </w:p>
    <w:p w14:paraId="39DDF0EF" w14:textId="11C7F1BD" w:rsidR="007C3567" w:rsidRPr="00A06729" w:rsidRDefault="00935AEE" w:rsidP="007C3567">
      <w:pPr>
        <w:pStyle w:val="BodyText"/>
        <w:spacing w:line="276" w:lineRule="auto"/>
        <w:ind w:left="112" w:right="697"/>
        <w:rPr>
          <w:sz w:val="22"/>
        </w:rPr>
      </w:pPr>
      <w:r w:rsidRPr="00A06729">
        <w:rPr>
          <w:sz w:val="22"/>
        </w:rPr>
        <w:t xml:space="preserve">Payment through </w:t>
      </w:r>
      <w:hyperlink r:id="rId26" w:history="1">
        <w:r w:rsidRPr="00A06729">
          <w:rPr>
            <w:rStyle w:val="Hyperlink"/>
            <w:sz w:val="22"/>
          </w:rPr>
          <w:t>PR20 form</w:t>
        </w:r>
      </w:hyperlink>
      <w:r w:rsidRPr="00A06729">
        <w:rPr>
          <w:sz w:val="22"/>
        </w:rPr>
        <w:t xml:space="preserve"> is the University’s preferred option. PR20 claims include both out of pocket expenses and payment for involvement and are made by BACS payment directly into the recipient’s bank account. PR20 forms can</w:t>
      </w:r>
      <w:r w:rsidR="007C3567" w:rsidRPr="00A06729">
        <w:rPr>
          <w:sz w:val="22"/>
        </w:rPr>
        <w:t xml:space="preserve"> </w:t>
      </w:r>
      <w:r w:rsidRPr="00A06729">
        <w:rPr>
          <w:sz w:val="22"/>
        </w:rPr>
        <w:t xml:space="preserve">also be used to pay a volunteer who is a member of staff. The form requires an activity code and authorised signature. </w:t>
      </w:r>
    </w:p>
    <w:p w14:paraId="1270DBDD" w14:textId="77777777" w:rsidR="007C3567" w:rsidRPr="00A06729" w:rsidRDefault="007C3567" w:rsidP="007C3567">
      <w:pPr>
        <w:pStyle w:val="BodyText"/>
        <w:spacing w:line="276" w:lineRule="auto"/>
        <w:ind w:left="112" w:right="697"/>
        <w:rPr>
          <w:sz w:val="22"/>
        </w:rPr>
      </w:pPr>
    </w:p>
    <w:p w14:paraId="0EAF7B5D" w14:textId="2252F82F" w:rsidR="00FC302D" w:rsidRPr="00A06729" w:rsidRDefault="00935AEE" w:rsidP="007C3567">
      <w:pPr>
        <w:pStyle w:val="BodyText"/>
        <w:spacing w:line="276" w:lineRule="auto"/>
        <w:ind w:left="112" w:right="697"/>
        <w:rPr>
          <w:sz w:val="8"/>
        </w:rPr>
      </w:pPr>
      <w:r w:rsidRPr="00A06729">
        <w:rPr>
          <w:sz w:val="22"/>
        </w:rPr>
        <w:t xml:space="preserve">When completed by the person organising the involvement activity, </w:t>
      </w:r>
      <w:r w:rsidR="0062127F" w:rsidRPr="00A06729">
        <w:rPr>
          <w:sz w:val="22"/>
        </w:rPr>
        <w:t>the form</w:t>
      </w:r>
      <w:r w:rsidRPr="00A06729">
        <w:rPr>
          <w:sz w:val="22"/>
        </w:rPr>
        <w:t xml:space="preserve"> should be forwarded to </w:t>
      </w:r>
      <w:hyperlink r:id="rId27" w:history="1">
        <w:r w:rsidR="00490FD0">
          <w:rPr>
            <w:rStyle w:val="Hyperlink"/>
            <w:sz w:val="22"/>
          </w:rPr>
          <w:t>the</w:t>
        </w:r>
      </w:hyperlink>
      <w:r w:rsidR="00490FD0">
        <w:rPr>
          <w:rStyle w:val="Hyperlink"/>
          <w:sz w:val="22"/>
        </w:rPr>
        <w:t xml:space="preserve"> University’s</w:t>
      </w:r>
      <w:r w:rsidR="002361D9">
        <w:rPr>
          <w:rStyle w:val="Hyperlink"/>
          <w:sz w:val="22"/>
        </w:rPr>
        <w:t xml:space="preserve"> fees and payments</w:t>
      </w:r>
      <w:r w:rsidR="00490FD0">
        <w:rPr>
          <w:rStyle w:val="Hyperlink"/>
          <w:sz w:val="22"/>
        </w:rPr>
        <w:t xml:space="preserve"> team</w:t>
      </w:r>
      <w:r w:rsidRPr="00A06729">
        <w:rPr>
          <w:sz w:val="22"/>
        </w:rPr>
        <w:t xml:space="preserve">, where BACs payment will be arranged. All staff should adhere to Data Protection Act </w:t>
      </w:r>
      <w:r w:rsidR="006A7AE1" w:rsidRPr="00A06729">
        <w:rPr>
          <w:sz w:val="22"/>
        </w:rPr>
        <w:t xml:space="preserve">2018, the General Data </w:t>
      </w:r>
      <w:r w:rsidR="006A7AE1" w:rsidRPr="00A06729">
        <w:rPr>
          <w:sz w:val="22"/>
        </w:rPr>
        <w:lastRenderedPageBreak/>
        <w:t>Protection Regulation</w:t>
      </w:r>
      <w:r w:rsidRPr="00A06729">
        <w:rPr>
          <w:sz w:val="22"/>
        </w:rPr>
        <w:t xml:space="preserve"> </w:t>
      </w:r>
      <w:r w:rsidR="006A7AE1" w:rsidRPr="00A06729">
        <w:rPr>
          <w:sz w:val="22"/>
        </w:rPr>
        <w:t xml:space="preserve">2018 </w:t>
      </w:r>
      <w:r w:rsidRPr="00A06729">
        <w:rPr>
          <w:sz w:val="22"/>
        </w:rPr>
        <w:t xml:space="preserve">and the </w:t>
      </w:r>
      <w:hyperlink r:id="rId28" w:history="1">
        <w:r w:rsidRPr="00A06729">
          <w:rPr>
            <w:rStyle w:val="Hyperlink"/>
            <w:sz w:val="22"/>
          </w:rPr>
          <w:t>University Data Governance policy</w:t>
        </w:r>
      </w:hyperlink>
      <w:r w:rsidRPr="00A06729">
        <w:rPr>
          <w:sz w:val="22"/>
        </w:rPr>
        <w:t xml:space="preserve"> at all times when processing personal information and have conducted mandatory </w:t>
      </w:r>
      <w:hyperlink r:id="rId29" w:history="1">
        <w:r w:rsidR="0062127F" w:rsidRPr="00A06729">
          <w:rPr>
            <w:rStyle w:val="Hyperlink"/>
            <w:sz w:val="22"/>
          </w:rPr>
          <w:t>Information Security and Data Protection Training</w:t>
        </w:r>
      </w:hyperlink>
      <w:r w:rsidR="0062127F" w:rsidRPr="00A06729">
        <w:rPr>
          <w:sz w:val="22"/>
        </w:rPr>
        <w:t xml:space="preserve">. </w:t>
      </w:r>
    </w:p>
    <w:p w14:paraId="7D1C5C99" w14:textId="77777777" w:rsidR="00FC302D" w:rsidRPr="00A06729" w:rsidRDefault="00FC302D">
      <w:pPr>
        <w:pStyle w:val="BodyText"/>
        <w:spacing w:before="2"/>
        <w:rPr>
          <w:sz w:val="11"/>
        </w:rPr>
      </w:pPr>
    </w:p>
    <w:p w14:paraId="4419542A" w14:textId="77777777" w:rsidR="00FC302D" w:rsidRPr="00A06729" w:rsidRDefault="00935AEE">
      <w:pPr>
        <w:pStyle w:val="BodyText"/>
        <w:spacing w:before="92" w:line="278" w:lineRule="auto"/>
        <w:ind w:left="962" w:right="729" w:hanging="570"/>
        <w:rPr>
          <w:sz w:val="22"/>
        </w:rPr>
      </w:pPr>
      <w:r w:rsidRPr="00A06729">
        <w:rPr>
          <w:b/>
          <w:color w:val="6F2F9F"/>
          <w:sz w:val="22"/>
        </w:rPr>
        <w:t xml:space="preserve">Pros: </w:t>
      </w:r>
      <w:r w:rsidRPr="00A06729">
        <w:rPr>
          <w:sz w:val="22"/>
        </w:rPr>
        <w:t>This is the preferred method by the University as there is no need to carry around large sums of cash. However, for smaller amounts, cash advance payment is deemed most appropriate due to its speed.</w:t>
      </w:r>
    </w:p>
    <w:p w14:paraId="1ABEAF65" w14:textId="458F7D92" w:rsidR="00FC302D" w:rsidRPr="00A06729" w:rsidRDefault="00935AEE">
      <w:pPr>
        <w:pStyle w:val="BodyText"/>
        <w:spacing w:before="197" w:line="276" w:lineRule="auto"/>
        <w:ind w:left="962" w:right="895" w:hanging="570"/>
        <w:rPr>
          <w:sz w:val="22"/>
        </w:rPr>
      </w:pPr>
      <w:r w:rsidRPr="00A06729">
        <w:rPr>
          <w:b/>
          <w:color w:val="6F2F9F"/>
          <w:sz w:val="22"/>
        </w:rPr>
        <w:t xml:space="preserve">Cons: </w:t>
      </w:r>
      <w:r w:rsidR="007C3567" w:rsidRPr="00A06729">
        <w:rPr>
          <w:sz w:val="22"/>
        </w:rPr>
        <w:t>C</w:t>
      </w:r>
      <w:r w:rsidRPr="00A06729">
        <w:rPr>
          <w:sz w:val="22"/>
        </w:rPr>
        <w:t>ash not available on the day of the involvement activity to reimburse travel cost; some people may not have bank accounts or be able to afford to wait for reimbursement; time taken to administer transfer of funds.</w:t>
      </w:r>
    </w:p>
    <w:p w14:paraId="205B6AE5" w14:textId="77777777" w:rsidR="00FC302D" w:rsidRPr="00A06729" w:rsidRDefault="00FC302D">
      <w:pPr>
        <w:pStyle w:val="BodyText"/>
        <w:spacing w:before="2"/>
        <w:rPr>
          <w:sz w:val="18"/>
        </w:rPr>
      </w:pPr>
    </w:p>
    <w:p w14:paraId="6E208551" w14:textId="77777777" w:rsidR="00FC302D" w:rsidRPr="00A06729" w:rsidRDefault="00935AEE">
      <w:pPr>
        <w:pStyle w:val="Heading2"/>
        <w:spacing w:before="0"/>
        <w:rPr>
          <w:sz w:val="22"/>
        </w:rPr>
      </w:pPr>
      <w:bookmarkStart w:id="0" w:name="_Hlk128738100"/>
      <w:r w:rsidRPr="00A06729">
        <w:rPr>
          <w:color w:val="6F2F9F"/>
          <w:sz w:val="22"/>
        </w:rPr>
        <w:t>C1.2. Cash Advance</w:t>
      </w:r>
    </w:p>
    <w:p w14:paraId="70A7621E" w14:textId="46A8C93A" w:rsidR="00FC302D" w:rsidRDefault="00FC302D">
      <w:pPr>
        <w:pStyle w:val="BodyText"/>
        <w:spacing w:before="8"/>
        <w:rPr>
          <w:b/>
          <w:sz w:val="22"/>
        </w:rPr>
      </w:pPr>
    </w:p>
    <w:p w14:paraId="2233593E" w14:textId="7780E9A9" w:rsidR="00C0757C" w:rsidRDefault="009F7B34">
      <w:pPr>
        <w:pStyle w:val="BodyText"/>
        <w:spacing w:line="273" w:lineRule="auto"/>
        <w:ind w:left="112" w:right="797"/>
        <w:rPr>
          <w:sz w:val="22"/>
        </w:rPr>
      </w:pPr>
      <w:r>
        <w:rPr>
          <w:sz w:val="22"/>
        </w:rPr>
        <w:t xml:space="preserve">During the Covid-19 pandemic, the University was required to stop the use of cash advances. </w:t>
      </w:r>
      <w:r w:rsidR="00F963FF">
        <w:rPr>
          <w:sz w:val="22"/>
        </w:rPr>
        <w:t>If you require a cash advance, please</w:t>
      </w:r>
      <w:r>
        <w:rPr>
          <w:sz w:val="22"/>
        </w:rPr>
        <w:t xml:space="preserve"> contact the </w:t>
      </w:r>
      <w:hyperlink r:id="rId30" w:history="1">
        <w:r w:rsidR="00C0757C" w:rsidRPr="009F7B34">
          <w:rPr>
            <w:rStyle w:val="Hyperlink"/>
            <w:sz w:val="22"/>
          </w:rPr>
          <w:t>income office</w:t>
        </w:r>
      </w:hyperlink>
      <w:r w:rsidR="00C0757C">
        <w:rPr>
          <w:sz w:val="22"/>
        </w:rPr>
        <w:t xml:space="preserve"> </w:t>
      </w:r>
      <w:r>
        <w:rPr>
          <w:sz w:val="22"/>
        </w:rPr>
        <w:t xml:space="preserve">to find out </w:t>
      </w:r>
      <w:proofErr w:type="gramStart"/>
      <w:r>
        <w:rPr>
          <w:sz w:val="22"/>
        </w:rPr>
        <w:t>whether or not</w:t>
      </w:r>
      <w:proofErr w:type="gramEnd"/>
      <w:r>
        <w:rPr>
          <w:sz w:val="22"/>
        </w:rPr>
        <w:t xml:space="preserve"> </w:t>
      </w:r>
      <w:r w:rsidR="00F963FF">
        <w:rPr>
          <w:sz w:val="22"/>
        </w:rPr>
        <w:t>they</w:t>
      </w:r>
      <w:r w:rsidR="00C0757C">
        <w:rPr>
          <w:sz w:val="22"/>
        </w:rPr>
        <w:t xml:space="preserve"> will be able to provide you with a cash advance.</w:t>
      </w:r>
      <w:r>
        <w:rPr>
          <w:sz w:val="22"/>
        </w:rPr>
        <w:t xml:space="preserve"> </w:t>
      </w:r>
    </w:p>
    <w:p w14:paraId="67C73AA9" w14:textId="77777777" w:rsidR="00C0757C" w:rsidRDefault="00C0757C">
      <w:pPr>
        <w:pStyle w:val="BodyText"/>
        <w:spacing w:line="273" w:lineRule="auto"/>
        <w:ind w:left="112" w:right="797"/>
        <w:rPr>
          <w:sz w:val="22"/>
        </w:rPr>
      </w:pPr>
    </w:p>
    <w:p w14:paraId="606C161A" w14:textId="26EE2186" w:rsidR="007C3567" w:rsidRPr="00A06729" w:rsidRDefault="00935AEE">
      <w:pPr>
        <w:pStyle w:val="BodyText"/>
        <w:spacing w:line="273" w:lineRule="auto"/>
        <w:ind w:left="112" w:right="797"/>
        <w:rPr>
          <w:sz w:val="22"/>
        </w:rPr>
      </w:pPr>
      <w:r w:rsidRPr="00A06729">
        <w:rPr>
          <w:sz w:val="22"/>
        </w:rPr>
        <w:t xml:space="preserve">A nominated individual must take responsibility to administer cash advances and complete two forms: </w:t>
      </w:r>
    </w:p>
    <w:p w14:paraId="5AA4C888" w14:textId="77777777" w:rsidR="00FC302D" w:rsidRPr="00A06729" w:rsidRDefault="00FC302D">
      <w:pPr>
        <w:pStyle w:val="BodyText"/>
      </w:pPr>
    </w:p>
    <w:bookmarkEnd w:id="0"/>
    <w:p w14:paraId="7EADEAE2" w14:textId="5356CFE7" w:rsidR="00FC302D" w:rsidRPr="00A06729" w:rsidRDefault="00881491">
      <w:pPr>
        <w:pStyle w:val="BodyText"/>
        <w:spacing w:before="1" w:line="276" w:lineRule="auto"/>
        <w:ind w:left="112" w:right="674"/>
        <w:rPr>
          <w:sz w:val="22"/>
        </w:rPr>
      </w:pPr>
      <w:r>
        <w:fldChar w:fldCharType="begin"/>
      </w:r>
      <w:r>
        <w:instrText>HYPERLINK "http://documents.manchester.ac.uk/display.aspx?DocID=42645"</w:instrText>
      </w:r>
      <w:r>
        <w:fldChar w:fldCharType="separate"/>
      </w:r>
      <w:r w:rsidR="006A7AE1" w:rsidRPr="00A06729">
        <w:rPr>
          <w:rStyle w:val="Hyperlink"/>
          <w:sz w:val="22"/>
        </w:rPr>
        <w:t>Cash advance request form</w:t>
      </w:r>
      <w:r>
        <w:rPr>
          <w:rStyle w:val="Hyperlink"/>
          <w:sz w:val="22"/>
        </w:rPr>
        <w:fldChar w:fldCharType="end"/>
      </w:r>
      <w:r w:rsidR="0062127F" w:rsidRPr="00A06729">
        <w:rPr>
          <w:sz w:val="22"/>
        </w:rPr>
        <w:t xml:space="preserve"> </w:t>
      </w:r>
      <w:r w:rsidR="00935AEE" w:rsidRPr="00A06729">
        <w:rPr>
          <w:sz w:val="22"/>
        </w:rPr>
        <w:t xml:space="preserve">requires an activity code (not a research code) and an authorised signature before submitting to the </w:t>
      </w:r>
      <w:hyperlink r:id="rId31" w:history="1">
        <w:r w:rsidR="00935AEE" w:rsidRPr="0083068B">
          <w:rPr>
            <w:rStyle w:val="Hyperlink"/>
            <w:sz w:val="22"/>
          </w:rPr>
          <w:t>John Owens Income office</w:t>
        </w:r>
      </w:hyperlink>
      <w:r w:rsidR="00935AEE" w:rsidRPr="00A06729">
        <w:rPr>
          <w:sz w:val="22"/>
        </w:rPr>
        <w:t>. Once authorised the cash is collected from the Income Office and held by the nominee who must sign for receipt of the expenses, on completion of the involvement activity.</w:t>
      </w:r>
    </w:p>
    <w:p w14:paraId="7118EC5D" w14:textId="69347023" w:rsidR="00FC302D" w:rsidRPr="00A06729" w:rsidRDefault="0062127F">
      <w:pPr>
        <w:pStyle w:val="BodyText"/>
        <w:spacing w:before="197"/>
        <w:ind w:left="112" w:right="908"/>
        <w:rPr>
          <w:sz w:val="22"/>
        </w:rPr>
      </w:pPr>
      <w:r w:rsidRPr="00A06729">
        <w:rPr>
          <w:sz w:val="22"/>
        </w:rPr>
        <w:t xml:space="preserve">A </w:t>
      </w:r>
      <w:hyperlink r:id="rId32" w:history="1">
        <w:r w:rsidRPr="00A06729">
          <w:rPr>
            <w:rStyle w:val="Hyperlink"/>
            <w:sz w:val="22"/>
          </w:rPr>
          <w:t>cash return f</w:t>
        </w:r>
        <w:r w:rsidR="006A7AE1" w:rsidRPr="00A06729">
          <w:rPr>
            <w:rStyle w:val="Hyperlink"/>
            <w:sz w:val="22"/>
          </w:rPr>
          <w:t>o</w:t>
        </w:r>
        <w:r w:rsidRPr="00A06729">
          <w:rPr>
            <w:rStyle w:val="Hyperlink"/>
            <w:sz w:val="22"/>
          </w:rPr>
          <w:t>r</w:t>
        </w:r>
        <w:r w:rsidR="006A7AE1" w:rsidRPr="00A06729">
          <w:rPr>
            <w:rStyle w:val="Hyperlink"/>
            <w:sz w:val="22"/>
          </w:rPr>
          <w:t>m</w:t>
        </w:r>
      </w:hyperlink>
      <w:r w:rsidR="00935AEE" w:rsidRPr="00A06729">
        <w:rPr>
          <w:sz w:val="22"/>
        </w:rPr>
        <w:t xml:space="preserve"> </w:t>
      </w:r>
      <w:r w:rsidR="006A7AE1" w:rsidRPr="00A06729">
        <w:rPr>
          <w:color w:val="343536"/>
          <w:sz w:val="22"/>
          <w:bdr w:val="none" w:sz="0" w:space="0" w:color="auto" w:frame="1"/>
          <w:shd w:val="clear" w:color="auto" w:fill="FFFFFF"/>
        </w:rPr>
        <w:t>n</w:t>
      </w:r>
      <w:r w:rsidR="00935AEE" w:rsidRPr="00A06729">
        <w:rPr>
          <w:sz w:val="22"/>
        </w:rPr>
        <w:t>eeds to be completed after the involvement activity, with a statement of expenditure and supported by receipts</w:t>
      </w:r>
      <w:r w:rsidR="006A7AE1" w:rsidRPr="00A06729">
        <w:rPr>
          <w:sz w:val="22"/>
        </w:rPr>
        <w:t xml:space="preserve"> (</w:t>
      </w:r>
      <w:hyperlink r:id="rId33" w:history="1">
        <w:r w:rsidRPr="00A06729">
          <w:rPr>
            <w:rStyle w:val="Hyperlink"/>
            <w:sz w:val="22"/>
          </w:rPr>
          <w:t>template receipt</w:t>
        </w:r>
      </w:hyperlink>
      <w:r w:rsidR="006A7AE1" w:rsidRPr="00A06729">
        <w:rPr>
          <w:color w:val="343536"/>
          <w:sz w:val="22"/>
          <w:shd w:val="clear" w:color="auto" w:fill="FFFFFF"/>
        </w:rPr>
        <w:t>)</w:t>
      </w:r>
      <w:r w:rsidR="00935AEE" w:rsidRPr="00A06729">
        <w:rPr>
          <w:sz w:val="22"/>
        </w:rPr>
        <w:t>. It is recommended that you make a note of each person you provide payments to, the amount, and signature confirming receipt (see also section C3). Any remaining cash should be returned to the income office.</w:t>
      </w:r>
    </w:p>
    <w:p w14:paraId="6430AD2F" w14:textId="77777777" w:rsidR="00FC302D" w:rsidRPr="00A06729" w:rsidRDefault="00FC302D">
      <w:pPr>
        <w:pStyle w:val="BodyText"/>
        <w:spacing w:before="5"/>
      </w:pPr>
    </w:p>
    <w:p w14:paraId="3A70D897" w14:textId="77777777" w:rsidR="00FC302D" w:rsidRPr="00A06729" w:rsidRDefault="00935AEE">
      <w:pPr>
        <w:pStyle w:val="BodyText"/>
        <w:spacing w:line="278" w:lineRule="auto"/>
        <w:ind w:left="962" w:right="674" w:hanging="570"/>
        <w:rPr>
          <w:sz w:val="22"/>
        </w:rPr>
      </w:pPr>
      <w:r w:rsidRPr="00A06729">
        <w:rPr>
          <w:b/>
          <w:color w:val="6F2F9F"/>
          <w:sz w:val="22"/>
        </w:rPr>
        <w:t xml:space="preserve">Pros: </w:t>
      </w:r>
      <w:r w:rsidRPr="00A06729">
        <w:rPr>
          <w:sz w:val="22"/>
        </w:rPr>
        <w:t>Cash is available on the day of involvement; enables prospective budgeting for involvement activities; some people may not have a bank account</w:t>
      </w:r>
    </w:p>
    <w:p w14:paraId="1631DDA4" w14:textId="77777777" w:rsidR="00FC302D" w:rsidRPr="00A06729" w:rsidRDefault="00935AEE">
      <w:pPr>
        <w:pStyle w:val="BodyText"/>
        <w:spacing w:before="196" w:line="278" w:lineRule="auto"/>
        <w:ind w:left="962" w:right="886" w:hanging="570"/>
        <w:rPr>
          <w:sz w:val="22"/>
        </w:rPr>
      </w:pPr>
      <w:r w:rsidRPr="00A06729">
        <w:rPr>
          <w:b/>
          <w:color w:val="6F2F9F"/>
          <w:sz w:val="22"/>
        </w:rPr>
        <w:t xml:space="preserve">Cons: </w:t>
      </w:r>
      <w:r w:rsidRPr="00A06729">
        <w:rPr>
          <w:sz w:val="22"/>
        </w:rPr>
        <w:t>allow enough time for Income office to arrange, advance planning essential; carrying around large amounts of cash</w:t>
      </w:r>
    </w:p>
    <w:p w14:paraId="1210ACAE" w14:textId="4F70A68E" w:rsidR="00FC302D" w:rsidRPr="00A06729" w:rsidRDefault="00935AEE">
      <w:pPr>
        <w:pStyle w:val="Heading2"/>
        <w:spacing w:before="194"/>
        <w:rPr>
          <w:sz w:val="22"/>
        </w:rPr>
      </w:pPr>
      <w:r w:rsidRPr="00A06729">
        <w:rPr>
          <w:color w:val="6F2F9F"/>
          <w:sz w:val="22"/>
        </w:rPr>
        <w:t xml:space="preserve">C1.3. Petty </w:t>
      </w:r>
      <w:r w:rsidR="004D43DE">
        <w:rPr>
          <w:color w:val="6F2F9F"/>
          <w:sz w:val="22"/>
        </w:rPr>
        <w:t>C</w:t>
      </w:r>
      <w:r w:rsidRPr="00A06729">
        <w:rPr>
          <w:color w:val="6F2F9F"/>
          <w:sz w:val="22"/>
        </w:rPr>
        <w:t>ash</w:t>
      </w:r>
    </w:p>
    <w:p w14:paraId="24BD495B" w14:textId="77777777" w:rsidR="00FC302D" w:rsidRPr="00A06729" w:rsidRDefault="00FC302D">
      <w:pPr>
        <w:pStyle w:val="BodyText"/>
        <w:spacing w:before="6"/>
        <w:rPr>
          <w:b/>
          <w:sz w:val="22"/>
        </w:rPr>
      </w:pPr>
    </w:p>
    <w:p w14:paraId="0CB4001A" w14:textId="77777777" w:rsidR="00FC302D" w:rsidRPr="00A06729" w:rsidRDefault="00935AEE" w:rsidP="00392298">
      <w:pPr>
        <w:pStyle w:val="BodyText"/>
        <w:ind w:left="112" w:right="680"/>
        <w:rPr>
          <w:sz w:val="22"/>
        </w:rPr>
      </w:pPr>
      <w:r w:rsidRPr="00A06729">
        <w:rPr>
          <w:sz w:val="22"/>
        </w:rPr>
        <w:t xml:space="preserve">For low value items for </w:t>
      </w:r>
      <w:proofErr w:type="gramStart"/>
      <w:r w:rsidRPr="00A06729">
        <w:rPr>
          <w:sz w:val="22"/>
        </w:rPr>
        <w:t>out of pocket</w:t>
      </w:r>
      <w:proofErr w:type="gramEnd"/>
      <w:r w:rsidRPr="00A06729">
        <w:rPr>
          <w:sz w:val="22"/>
        </w:rPr>
        <w:t xml:space="preserve"> expenses (e.g. bus fare or lunch supported by a receipt) or if you need to arrange cash at short notice, it might be quicker and more appropriate to use petty cash. This might be held locally by a School/Division. You can find out who your petty cash officer is through your Head of School Operations (</w:t>
      </w:r>
      <w:proofErr w:type="spellStart"/>
      <w:r w:rsidRPr="00A06729">
        <w:rPr>
          <w:sz w:val="22"/>
        </w:rPr>
        <w:t>HoSO</w:t>
      </w:r>
      <w:proofErr w:type="spellEnd"/>
      <w:r w:rsidRPr="00A06729">
        <w:rPr>
          <w:sz w:val="22"/>
        </w:rPr>
        <w:t>). Please check with the petty cash holder prior to use.</w:t>
      </w:r>
    </w:p>
    <w:p w14:paraId="7074A954" w14:textId="77777777" w:rsidR="00FC302D" w:rsidRPr="00A06729" w:rsidRDefault="00FC302D">
      <w:pPr>
        <w:pStyle w:val="BodyText"/>
        <w:rPr>
          <w:sz w:val="24"/>
        </w:rPr>
      </w:pPr>
    </w:p>
    <w:p w14:paraId="4690EB15" w14:textId="77777777" w:rsidR="00FC302D" w:rsidRPr="00A06729" w:rsidRDefault="00935AEE">
      <w:pPr>
        <w:pStyle w:val="BodyText"/>
        <w:ind w:left="392"/>
        <w:rPr>
          <w:sz w:val="22"/>
        </w:rPr>
      </w:pPr>
      <w:r w:rsidRPr="00A06729">
        <w:rPr>
          <w:b/>
          <w:color w:val="6F2F9F"/>
          <w:sz w:val="22"/>
        </w:rPr>
        <w:t xml:space="preserve">Pros: </w:t>
      </w:r>
      <w:r w:rsidRPr="00A06729">
        <w:rPr>
          <w:sz w:val="22"/>
        </w:rPr>
        <w:t>fast access and availability</w:t>
      </w:r>
    </w:p>
    <w:p w14:paraId="4097704D" w14:textId="77777777" w:rsidR="00FC302D" w:rsidRPr="00A06729" w:rsidRDefault="00FC302D">
      <w:pPr>
        <w:pStyle w:val="BodyText"/>
        <w:spacing w:before="3"/>
        <w:rPr>
          <w:sz w:val="22"/>
        </w:rPr>
      </w:pPr>
    </w:p>
    <w:p w14:paraId="266AC313" w14:textId="37854A66" w:rsidR="00FC302D" w:rsidRPr="00A06729" w:rsidRDefault="00935AEE" w:rsidP="007E3B85">
      <w:pPr>
        <w:pStyle w:val="BodyText"/>
        <w:ind w:left="392"/>
        <w:rPr>
          <w:sz w:val="22"/>
        </w:rPr>
      </w:pPr>
      <w:r w:rsidRPr="00A06729">
        <w:rPr>
          <w:b/>
          <w:color w:val="6F2F9F"/>
          <w:sz w:val="22"/>
        </w:rPr>
        <w:t xml:space="preserve">Cons: </w:t>
      </w:r>
      <w:r w:rsidRPr="00A06729">
        <w:rPr>
          <w:sz w:val="22"/>
        </w:rPr>
        <w:t>there may be many demands on petty cash resulting in not enough being available at short notice</w:t>
      </w:r>
      <w:r w:rsidR="007E3B85" w:rsidRPr="00A06729">
        <w:rPr>
          <w:sz w:val="22"/>
        </w:rPr>
        <w:t xml:space="preserve"> as </w:t>
      </w:r>
      <w:r w:rsidRPr="00A06729">
        <w:rPr>
          <w:sz w:val="22"/>
        </w:rPr>
        <w:t>Schools/Divisions only hold small sums of petty cash</w:t>
      </w:r>
    </w:p>
    <w:p w14:paraId="68CA6433" w14:textId="77777777" w:rsidR="00FC302D" w:rsidRPr="00A06729" w:rsidRDefault="00FC302D">
      <w:pPr>
        <w:pStyle w:val="BodyText"/>
        <w:spacing w:before="11"/>
        <w:rPr>
          <w:i/>
          <w:sz w:val="12"/>
        </w:rPr>
      </w:pPr>
    </w:p>
    <w:p w14:paraId="3772F07D" w14:textId="02ADC9FE" w:rsidR="00FC302D" w:rsidRPr="00A06729" w:rsidRDefault="00935AEE">
      <w:pPr>
        <w:pStyle w:val="Heading2"/>
        <w:rPr>
          <w:sz w:val="22"/>
        </w:rPr>
      </w:pPr>
      <w:r w:rsidRPr="00A06729">
        <w:rPr>
          <w:color w:val="6F2F9F"/>
          <w:sz w:val="22"/>
        </w:rPr>
        <w:t xml:space="preserve">C1.4. Gift </w:t>
      </w:r>
      <w:r w:rsidR="004D43DE">
        <w:rPr>
          <w:color w:val="6F2F9F"/>
          <w:sz w:val="22"/>
        </w:rPr>
        <w:t>V</w:t>
      </w:r>
      <w:r w:rsidRPr="00A06729">
        <w:rPr>
          <w:color w:val="6F2F9F"/>
          <w:sz w:val="22"/>
        </w:rPr>
        <w:t>ouchers</w:t>
      </w:r>
    </w:p>
    <w:p w14:paraId="4F80BDD5" w14:textId="77777777" w:rsidR="00FC302D" w:rsidRPr="00A06729" w:rsidRDefault="00FC302D">
      <w:pPr>
        <w:pStyle w:val="BodyText"/>
        <w:spacing w:before="8"/>
        <w:rPr>
          <w:b/>
          <w:sz w:val="22"/>
        </w:rPr>
      </w:pPr>
    </w:p>
    <w:p w14:paraId="1914B8F3" w14:textId="1E17F092" w:rsidR="00FC302D" w:rsidRPr="00A06729" w:rsidRDefault="00935AEE" w:rsidP="007E3B85">
      <w:pPr>
        <w:pStyle w:val="BodyText"/>
        <w:spacing w:line="276" w:lineRule="auto"/>
        <w:ind w:left="112" w:right="674"/>
        <w:rPr>
          <w:sz w:val="22"/>
        </w:rPr>
      </w:pPr>
      <w:r w:rsidRPr="00A06729">
        <w:rPr>
          <w:sz w:val="22"/>
        </w:rPr>
        <w:t xml:space="preserve">Gift vouchers can be used as an alternative form of payment and are purchased </w:t>
      </w:r>
      <w:r w:rsidR="004F75E4">
        <w:rPr>
          <w:sz w:val="22"/>
        </w:rPr>
        <w:t xml:space="preserve">via the University’s </w:t>
      </w:r>
      <w:r w:rsidR="00F963FF">
        <w:rPr>
          <w:sz w:val="22"/>
        </w:rPr>
        <w:t>voucher team</w:t>
      </w:r>
      <w:r w:rsidR="000354C3">
        <w:rPr>
          <w:sz w:val="22"/>
        </w:rPr>
        <w:t xml:space="preserve"> (see below)</w:t>
      </w:r>
      <w:r w:rsidRPr="00A06729">
        <w:rPr>
          <w:sz w:val="22"/>
        </w:rPr>
        <w:t>. However, unless explicitly requested, it is inadvisable to use gift vouchers for involvement purposes. Voucher payment is more suited to research participation.</w:t>
      </w:r>
    </w:p>
    <w:p w14:paraId="4B0811C7" w14:textId="77777777" w:rsidR="00FC302D" w:rsidRPr="00A06729" w:rsidRDefault="00935AEE">
      <w:pPr>
        <w:pStyle w:val="BodyText"/>
        <w:spacing w:before="197" w:line="278" w:lineRule="auto"/>
        <w:ind w:left="1247" w:right="664" w:hanging="635"/>
        <w:rPr>
          <w:sz w:val="22"/>
        </w:rPr>
      </w:pPr>
      <w:r w:rsidRPr="00A06729">
        <w:rPr>
          <w:b/>
          <w:color w:val="6F2F9F"/>
          <w:sz w:val="22"/>
        </w:rPr>
        <w:t xml:space="preserve">Pros: </w:t>
      </w:r>
      <w:r w:rsidRPr="00A06729">
        <w:rPr>
          <w:sz w:val="22"/>
        </w:rPr>
        <w:t>this may be more suitable for certain groups of volunteers (</w:t>
      </w:r>
      <w:proofErr w:type="gramStart"/>
      <w:r w:rsidRPr="00A06729">
        <w:rPr>
          <w:sz w:val="22"/>
        </w:rPr>
        <w:t>e.g.</w:t>
      </w:r>
      <w:proofErr w:type="gramEnd"/>
      <w:r w:rsidRPr="00A06729">
        <w:rPr>
          <w:sz w:val="22"/>
        </w:rPr>
        <w:t xml:space="preserve"> participating in research as research subjects) where the payment is very small.</w:t>
      </w:r>
    </w:p>
    <w:p w14:paraId="5A61B184" w14:textId="27B4ED7B" w:rsidR="00FC302D" w:rsidRDefault="00935AEE">
      <w:pPr>
        <w:pStyle w:val="BodyText"/>
        <w:spacing w:before="194" w:line="280" w:lineRule="auto"/>
        <w:ind w:left="1247" w:right="674" w:hanging="637"/>
        <w:rPr>
          <w:sz w:val="22"/>
        </w:rPr>
      </w:pPr>
      <w:r w:rsidRPr="00A06729">
        <w:rPr>
          <w:b/>
          <w:color w:val="6F2F9F"/>
          <w:sz w:val="22"/>
        </w:rPr>
        <w:t xml:space="preserve">Cons: </w:t>
      </w:r>
      <w:r w:rsidRPr="00A06729">
        <w:rPr>
          <w:sz w:val="22"/>
        </w:rPr>
        <w:t xml:space="preserve">vouchers must be treated with the same level of care and security as if they were cash; vouchers have a use by date so should not be bought in </w:t>
      </w:r>
      <w:proofErr w:type="gramStart"/>
      <w:r w:rsidRPr="00A06729">
        <w:rPr>
          <w:sz w:val="22"/>
        </w:rPr>
        <w:t>bulk;</w:t>
      </w:r>
      <w:proofErr w:type="gramEnd"/>
    </w:p>
    <w:p w14:paraId="67060360" w14:textId="699FC7E0" w:rsidR="000354C3" w:rsidRPr="000354C3" w:rsidRDefault="000354C3" w:rsidP="000354C3">
      <w:pPr>
        <w:pStyle w:val="BodyText"/>
        <w:spacing w:before="194" w:line="280" w:lineRule="auto"/>
        <w:ind w:right="674"/>
        <w:rPr>
          <w:sz w:val="22"/>
        </w:rPr>
      </w:pPr>
      <w:r w:rsidRPr="000354C3">
        <w:rPr>
          <w:sz w:val="22"/>
        </w:rPr>
        <w:t>To request vouchers you will need to complete a ‘</w:t>
      </w:r>
      <w:hyperlink r:id="rId34" w:history="1">
        <w:r w:rsidRPr="00C0757C">
          <w:rPr>
            <w:rStyle w:val="Hyperlink"/>
            <w:sz w:val="22"/>
          </w:rPr>
          <w:t>Request’ form</w:t>
        </w:r>
      </w:hyperlink>
      <w:r w:rsidRPr="000354C3">
        <w:rPr>
          <w:sz w:val="22"/>
        </w:rPr>
        <w:t xml:space="preserve"> and submit to the Income Office using the email address </w:t>
      </w:r>
      <w:hyperlink r:id="rId35" w:history="1">
        <w:r w:rsidRPr="000354C3">
          <w:rPr>
            <w:rStyle w:val="Hyperlink"/>
            <w:sz w:val="22"/>
          </w:rPr>
          <w:t>vouchers@manchester.ac.uk</w:t>
        </w:r>
      </w:hyperlink>
      <w:r w:rsidRPr="000354C3">
        <w:rPr>
          <w:sz w:val="22"/>
        </w:rPr>
        <w:t>. The Income Office will then purchase and issue electronic vouchers to the recipients.</w:t>
      </w:r>
    </w:p>
    <w:p w14:paraId="6CBC761B" w14:textId="77777777" w:rsidR="000354C3" w:rsidRPr="000354C3" w:rsidRDefault="000354C3" w:rsidP="000354C3">
      <w:pPr>
        <w:pStyle w:val="BodyText"/>
        <w:spacing w:before="194" w:line="280" w:lineRule="auto"/>
        <w:ind w:right="674"/>
        <w:rPr>
          <w:sz w:val="22"/>
        </w:rPr>
      </w:pPr>
      <w:r w:rsidRPr="000354C3">
        <w:rPr>
          <w:sz w:val="22"/>
        </w:rPr>
        <w:t>On occasion there may be a need for physical vouchers, primarily from study coordinators. This is included in the request process.</w:t>
      </w:r>
    </w:p>
    <w:p w14:paraId="150BC9CB" w14:textId="77777777" w:rsidR="000354C3" w:rsidRPr="000354C3" w:rsidRDefault="000354C3" w:rsidP="000354C3">
      <w:pPr>
        <w:pStyle w:val="BodyText"/>
        <w:spacing w:before="194" w:line="280" w:lineRule="auto"/>
        <w:ind w:right="674"/>
        <w:rPr>
          <w:sz w:val="22"/>
        </w:rPr>
      </w:pPr>
      <w:r w:rsidRPr="000354C3">
        <w:rPr>
          <w:sz w:val="22"/>
        </w:rPr>
        <w:t xml:space="preserve">Following the implementation date, vouchers cannot be sourced using purchasing cards or </w:t>
      </w:r>
      <w:proofErr w:type="spellStart"/>
      <w:r w:rsidRPr="000354C3">
        <w:rPr>
          <w:sz w:val="22"/>
        </w:rPr>
        <w:t>iProc</w:t>
      </w:r>
      <w:proofErr w:type="spellEnd"/>
      <w:r w:rsidRPr="000354C3">
        <w:rPr>
          <w:sz w:val="22"/>
        </w:rPr>
        <w:t xml:space="preserve"> supplier.</w:t>
      </w:r>
    </w:p>
    <w:p w14:paraId="36F9C066" w14:textId="6DD5A12B" w:rsidR="004D43DE" w:rsidRDefault="004D43DE" w:rsidP="000354C3">
      <w:pPr>
        <w:pStyle w:val="BodyText"/>
        <w:spacing w:before="194" w:line="280" w:lineRule="auto"/>
        <w:ind w:right="674"/>
        <w:rPr>
          <w:sz w:val="22"/>
        </w:rPr>
      </w:pPr>
      <w:r w:rsidRPr="004D43DE">
        <w:rPr>
          <w:sz w:val="22"/>
        </w:rPr>
        <w:t xml:space="preserve">The </w:t>
      </w:r>
      <w:proofErr w:type="gramStart"/>
      <w:r w:rsidRPr="004D43DE">
        <w:rPr>
          <w:sz w:val="22"/>
        </w:rPr>
        <w:t>changes</w:t>
      </w:r>
      <w:proofErr w:type="gramEnd"/>
      <w:r w:rsidRPr="004D43DE">
        <w:rPr>
          <w:sz w:val="22"/>
        </w:rPr>
        <w:t xml:space="preserve"> however, have introduced an issue in relation to participant confidentiality and the use and storage of email addresses (GDPR) as these will now be processed and stored by colleagues in Finance.</w:t>
      </w:r>
      <w:r>
        <w:rPr>
          <w:sz w:val="22"/>
        </w:rPr>
        <w:t xml:space="preserve"> </w:t>
      </w:r>
      <w:hyperlink r:id="rId36" w:history="1">
        <w:r w:rsidR="00F963FF" w:rsidRPr="00F963FF">
          <w:rPr>
            <w:rStyle w:val="Hyperlink"/>
            <w:sz w:val="22"/>
          </w:rPr>
          <w:t>Find out more before purchasing</w:t>
        </w:r>
      </w:hyperlink>
      <w:r>
        <w:rPr>
          <w:sz w:val="22"/>
        </w:rPr>
        <w:t>.</w:t>
      </w:r>
    </w:p>
    <w:p w14:paraId="5A06D0F5" w14:textId="3D62B447" w:rsidR="005705BA" w:rsidRDefault="000354C3" w:rsidP="000354C3">
      <w:pPr>
        <w:pStyle w:val="BodyText"/>
        <w:spacing w:before="194" w:line="280" w:lineRule="auto"/>
        <w:ind w:right="674"/>
        <w:rPr>
          <w:sz w:val="22"/>
        </w:rPr>
      </w:pPr>
      <w:r>
        <w:rPr>
          <w:sz w:val="22"/>
        </w:rPr>
        <w:t xml:space="preserve">For further guidance including links to the request form </w:t>
      </w:r>
      <w:r w:rsidR="00F963FF">
        <w:rPr>
          <w:sz w:val="22"/>
        </w:rPr>
        <w:t xml:space="preserve">can be found on </w:t>
      </w:r>
      <w:hyperlink r:id="rId37" w:history="1">
        <w:proofErr w:type="spellStart"/>
        <w:r w:rsidR="00F963FF" w:rsidRPr="00F963FF">
          <w:rPr>
            <w:rStyle w:val="Hyperlink"/>
            <w:sz w:val="22"/>
          </w:rPr>
          <w:t>StaffNet</w:t>
        </w:r>
        <w:proofErr w:type="spellEnd"/>
      </w:hyperlink>
      <w:r>
        <w:rPr>
          <w:sz w:val="22"/>
        </w:rPr>
        <w:t>.</w:t>
      </w:r>
      <w:r w:rsidRPr="000354C3">
        <w:rPr>
          <w:sz w:val="22"/>
        </w:rPr>
        <w:t> </w:t>
      </w:r>
    </w:p>
    <w:p w14:paraId="00493E73" w14:textId="1DFEFB99" w:rsidR="000354C3" w:rsidRDefault="00D67CD4" w:rsidP="000354C3">
      <w:pPr>
        <w:pStyle w:val="BodyText"/>
        <w:spacing w:before="194" w:line="280" w:lineRule="auto"/>
        <w:ind w:right="674"/>
        <w:rPr>
          <w:sz w:val="22"/>
        </w:rPr>
      </w:pPr>
      <w:r w:rsidRPr="005705BA">
        <w:rPr>
          <w:b/>
          <w:bCs/>
          <w:sz w:val="22"/>
        </w:rPr>
        <w:t xml:space="preserve">Please </w:t>
      </w:r>
      <w:proofErr w:type="gramStart"/>
      <w:r w:rsidRPr="005705BA">
        <w:rPr>
          <w:b/>
          <w:bCs/>
          <w:sz w:val="22"/>
        </w:rPr>
        <w:t>note:</w:t>
      </w:r>
      <w:proofErr w:type="gramEnd"/>
      <w:r>
        <w:rPr>
          <w:sz w:val="22"/>
        </w:rPr>
        <w:t xml:space="preserve"> you need to use the </w:t>
      </w:r>
      <w:hyperlink r:id="rId38" w:history="1">
        <w:r w:rsidRPr="00D67CD4">
          <w:rPr>
            <w:rStyle w:val="Hyperlink"/>
            <w:sz w:val="22"/>
          </w:rPr>
          <w:t>study participation form</w:t>
        </w:r>
      </w:hyperlink>
      <w:r>
        <w:rPr>
          <w:sz w:val="22"/>
        </w:rPr>
        <w:t xml:space="preserve"> for Public Contributors. </w:t>
      </w:r>
      <w:r w:rsidR="000354C3" w:rsidRPr="000354C3">
        <w:rPr>
          <w:sz w:val="22"/>
        </w:rPr>
        <w:t xml:space="preserve">  </w:t>
      </w:r>
    </w:p>
    <w:p w14:paraId="0819F355" w14:textId="51F0C8C6" w:rsidR="007E3B85" w:rsidRPr="00A06729" w:rsidRDefault="00935AEE" w:rsidP="00983400">
      <w:pPr>
        <w:pStyle w:val="Heading2"/>
        <w:numPr>
          <w:ilvl w:val="0"/>
          <w:numId w:val="4"/>
        </w:numPr>
        <w:tabs>
          <w:tab w:val="left" w:pos="472"/>
        </w:tabs>
        <w:spacing w:before="192" w:line="554" w:lineRule="auto"/>
        <w:ind w:left="0" w:right="99" w:firstLine="0"/>
        <w:rPr>
          <w:sz w:val="22"/>
        </w:rPr>
      </w:pPr>
      <w:r w:rsidRPr="00A06729">
        <w:rPr>
          <w:color w:val="6F2F9F"/>
          <w:sz w:val="22"/>
        </w:rPr>
        <w:t>U</w:t>
      </w:r>
      <w:r w:rsidR="007E3B85" w:rsidRPr="00A06729">
        <w:rPr>
          <w:color w:val="6F2F9F"/>
          <w:sz w:val="22"/>
        </w:rPr>
        <w:t>s</w:t>
      </w:r>
      <w:r w:rsidRPr="00A06729">
        <w:rPr>
          <w:color w:val="6F2F9F"/>
          <w:sz w:val="22"/>
        </w:rPr>
        <w:t xml:space="preserve">eful </w:t>
      </w:r>
      <w:r w:rsidR="004D43DE">
        <w:rPr>
          <w:color w:val="6F2F9F"/>
          <w:sz w:val="22"/>
        </w:rPr>
        <w:t>C</w:t>
      </w:r>
      <w:r w:rsidRPr="00A06729">
        <w:rPr>
          <w:color w:val="6F2F9F"/>
          <w:sz w:val="22"/>
        </w:rPr>
        <w:t>ontacts</w:t>
      </w:r>
    </w:p>
    <w:p w14:paraId="70E3FC34" w14:textId="52F78515" w:rsidR="00FC302D" w:rsidRPr="00A06729" w:rsidRDefault="00935AEE" w:rsidP="003538E5">
      <w:pPr>
        <w:pStyle w:val="Heading2"/>
        <w:tabs>
          <w:tab w:val="left" w:pos="472"/>
        </w:tabs>
        <w:spacing w:before="192" w:line="554" w:lineRule="auto"/>
        <w:ind w:left="0" w:right="99"/>
        <w:rPr>
          <w:sz w:val="22"/>
        </w:rPr>
      </w:pPr>
      <w:r w:rsidRPr="00A06729">
        <w:rPr>
          <w:color w:val="6F2F9F"/>
          <w:sz w:val="22"/>
        </w:rPr>
        <w:t>D1. FBMH</w:t>
      </w:r>
      <w:r w:rsidRPr="00A06729">
        <w:rPr>
          <w:color w:val="6F2F9F"/>
          <w:spacing w:val="-6"/>
          <w:sz w:val="22"/>
        </w:rPr>
        <w:t xml:space="preserve"> </w:t>
      </w:r>
      <w:r w:rsidR="004D43DE">
        <w:rPr>
          <w:color w:val="6F2F9F"/>
          <w:sz w:val="22"/>
        </w:rPr>
        <w:t>C</w:t>
      </w:r>
      <w:r w:rsidRPr="00A06729">
        <w:rPr>
          <w:color w:val="6F2F9F"/>
          <w:sz w:val="22"/>
        </w:rPr>
        <w:t>ontacts</w:t>
      </w:r>
    </w:p>
    <w:p w14:paraId="754F3C44" w14:textId="7CFA5457" w:rsidR="007C3567" w:rsidRPr="00A06729" w:rsidRDefault="00C903B9" w:rsidP="00D01CA9">
      <w:pPr>
        <w:pStyle w:val="ListParagraph"/>
        <w:numPr>
          <w:ilvl w:val="1"/>
          <w:numId w:val="4"/>
        </w:numPr>
        <w:tabs>
          <w:tab w:val="left" w:pos="832"/>
          <w:tab w:val="left" w:pos="833"/>
        </w:tabs>
        <w:spacing w:line="278" w:lineRule="auto"/>
        <w:ind w:right="1324"/>
      </w:pPr>
      <w:hyperlink r:id="rId39" w:history="1">
        <w:r w:rsidR="00935AEE" w:rsidRPr="004F75E4">
          <w:rPr>
            <w:rStyle w:val="Hyperlink"/>
          </w:rPr>
          <w:t>Faculty co-ordinating centre site</w:t>
        </w:r>
      </w:hyperlink>
    </w:p>
    <w:p w14:paraId="7BC7F3C3" w14:textId="45EBAB14" w:rsidR="00FC302D" w:rsidRPr="00A06729" w:rsidRDefault="00C903B9" w:rsidP="007C3567">
      <w:pPr>
        <w:pStyle w:val="ListParagraph"/>
        <w:numPr>
          <w:ilvl w:val="1"/>
          <w:numId w:val="4"/>
        </w:numPr>
        <w:tabs>
          <w:tab w:val="left" w:pos="832"/>
          <w:tab w:val="left" w:pos="833"/>
        </w:tabs>
        <w:spacing w:line="278" w:lineRule="auto"/>
        <w:ind w:right="1324" w:hanging="360"/>
      </w:pPr>
      <w:hyperlink r:id="rId40" w:history="1">
        <w:r w:rsidR="00F963FF">
          <w:rPr>
            <w:rStyle w:val="Hyperlink"/>
          </w:rPr>
          <w:t>Faculty Research and Business Engagement</w:t>
        </w:r>
      </w:hyperlink>
      <w:r w:rsidR="00F963FF">
        <w:rPr>
          <w:rStyle w:val="Hyperlink"/>
        </w:rPr>
        <w:t xml:space="preserve"> team</w:t>
      </w:r>
    </w:p>
    <w:p w14:paraId="40DF71CE" w14:textId="77777777" w:rsidR="00FC302D" w:rsidRPr="00A06729" w:rsidRDefault="00FC302D">
      <w:pPr>
        <w:pStyle w:val="BodyText"/>
        <w:spacing w:before="4"/>
        <w:rPr>
          <w:sz w:val="16"/>
        </w:rPr>
      </w:pPr>
    </w:p>
    <w:p w14:paraId="571DD050" w14:textId="2EF41A05" w:rsidR="00FC302D" w:rsidRPr="00A06729" w:rsidRDefault="00935AEE">
      <w:pPr>
        <w:pStyle w:val="BodyText"/>
        <w:spacing w:before="93" w:line="276" w:lineRule="auto"/>
        <w:ind w:left="832" w:right="1178"/>
        <w:rPr>
          <w:sz w:val="22"/>
        </w:rPr>
      </w:pPr>
      <w:r w:rsidRPr="00A06729">
        <w:rPr>
          <w:sz w:val="22"/>
        </w:rPr>
        <w:t xml:space="preserve">If your query relates to a practical payment issue, contact your finance team, (details on </w:t>
      </w:r>
      <w:proofErr w:type="spellStart"/>
      <w:r w:rsidRPr="00A06729">
        <w:rPr>
          <w:sz w:val="22"/>
        </w:rPr>
        <w:t>Staffnet</w:t>
      </w:r>
      <w:proofErr w:type="spellEnd"/>
      <w:r w:rsidRPr="00A06729">
        <w:rPr>
          <w:sz w:val="22"/>
        </w:rPr>
        <w:t xml:space="preserve">) If your query relates to a more substantive issue </w:t>
      </w:r>
      <w:proofErr w:type="gramStart"/>
      <w:r w:rsidRPr="00A06729">
        <w:rPr>
          <w:sz w:val="22"/>
        </w:rPr>
        <w:t>concerning</w:t>
      </w:r>
      <w:r w:rsidR="007E3B85" w:rsidRPr="00A06729">
        <w:rPr>
          <w:sz w:val="22"/>
        </w:rPr>
        <w:t xml:space="preserve"> </w:t>
      </w:r>
      <w:r w:rsidRPr="00A06729">
        <w:rPr>
          <w:spacing w:val="-39"/>
          <w:sz w:val="22"/>
        </w:rPr>
        <w:t xml:space="preserve"> </w:t>
      </w:r>
      <w:r w:rsidRPr="00A06729">
        <w:rPr>
          <w:sz w:val="22"/>
        </w:rPr>
        <w:t>involvement</w:t>
      </w:r>
      <w:proofErr w:type="gramEnd"/>
      <w:r w:rsidRPr="00A06729">
        <w:rPr>
          <w:sz w:val="22"/>
        </w:rPr>
        <w:t>/volunteering/participation</w:t>
      </w:r>
      <w:r w:rsidR="007B1070" w:rsidRPr="00A06729">
        <w:rPr>
          <w:sz w:val="22"/>
        </w:rPr>
        <w:t xml:space="preserve"> please contact </w:t>
      </w:r>
      <w:hyperlink r:id="rId41" w:history="1">
        <w:r w:rsidR="007B1070" w:rsidRPr="00A06729">
          <w:rPr>
            <w:rStyle w:val="Hyperlink"/>
            <w:sz w:val="22"/>
          </w:rPr>
          <w:t>srbmh@manchester.ac.uk</w:t>
        </w:r>
      </w:hyperlink>
      <w:r w:rsidR="007B1070" w:rsidRPr="00A06729">
        <w:rPr>
          <w:sz w:val="22"/>
        </w:rPr>
        <w:t xml:space="preserve"> </w:t>
      </w:r>
    </w:p>
    <w:p w14:paraId="2DCD7D28" w14:textId="77777777" w:rsidR="00FC302D" w:rsidRPr="00A06729" w:rsidRDefault="00FC302D">
      <w:pPr>
        <w:pStyle w:val="BodyText"/>
        <w:spacing w:before="10"/>
        <w:rPr>
          <w:sz w:val="24"/>
        </w:rPr>
      </w:pPr>
    </w:p>
    <w:p w14:paraId="3F47372E" w14:textId="74E1CC0A" w:rsidR="00FC302D" w:rsidRPr="00A06729" w:rsidRDefault="004D43DE">
      <w:pPr>
        <w:pStyle w:val="Heading2"/>
        <w:spacing w:before="1"/>
        <w:rPr>
          <w:sz w:val="22"/>
        </w:rPr>
      </w:pPr>
      <w:r>
        <w:rPr>
          <w:color w:val="6F2F9F"/>
          <w:sz w:val="22"/>
        </w:rPr>
        <w:t>D2. Other U</w:t>
      </w:r>
      <w:r w:rsidR="00935AEE" w:rsidRPr="00A06729">
        <w:rPr>
          <w:color w:val="6F2F9F"/>
          <w:sz w:val="22"/>
        </w:rPr>
        <w:t xml:space="preserve">seful </w:t>
      </w:r>
      <w:r>
        <w:rPr>
          <w:color w:val="6F2F9F"/>
          <w:sz w:val="22"/>
        </w:rPr>
        <w:t>C</w:t>
      </w:r>
      <w:r w:rsidR="00935AEE" w:rsidRPr="00A06729">
        <w:rPr>
          <w:color w:val="6F2F9F"/>
          <w:sz w:val="22"/>
        </w:rPr>
        <w:t>ontacts</w:t>
      </w:r>
    </w:p>
    <w:p w14:paraId="2A1CBCC6" w14:textId="77777777" w:rsidR="00FC302D" w:rsidRPr="00A06729" w:rsidRDefault="00FC302D">
      <w:pPr>
        <w:pStyle w:val="BodyText"/>
        <w:spacing w:before="10"/>
        <w:rPr>
          <w:b/>
          <w:sz w:val="28"/>
        </w:rPr>
      </w:pPr>
    </w:p>
    <w:p w14:paraId="2B82C256" w14:textId="71A982E6" w:rsidR="00FC302D" w:rsidRPr="00A06729" w:rsidRDefault="004F75E4" w:rsidP="004F75E4">
      <w:pPr>
        <w:pStyle w:val="ListParagraph"/>
        <w:numPr>
          <w:ilvl w:val="1"/>
          <w:numId w:val="4"/>
        </w:numPr>
        <w:tabs>
          <w:tab w:val="left" w:pos="832"/>
          <w:tab w:val="left" w:pos="833"/>
        </w:tabs>
        <w:ind w:right="1482"/>
      </w:pPr>
      <w:r>
        <w:t xml:space="preserve">NIHR </w:t>
      </w:r>
      <w:r w:rsidRPr="004F75E4">
        <w:t>Centre for Engagement and Dissemination</w:t>
      </w:r>
      <w:r w:rsidR="00935AEE" w:rsidRPr="00A06729">
        <w:t xml:space="preserve"> </w:t>
      </w:r>
      <w:hyperlink r:id="rId42" w:history="1">
        <w:r w:rsidR="00935AEE" w:rsidRPr="004F75E4">
          <w:rPr>
            <w:rStyle w:val="Hyperlink"/>
          </w:rPr>
          <w:t>Payment for Involvement Guide</w:t>
        </w:r>
      </w:hyperlink>
      <w:r w:rsidR="007E3B85" w:rsidRPr="00A06729">
        <w:t xml:space="preserve"> </w:t>
      </w:r>
    </w:p>
    <w:p w14:paraId="52661EE1" w14:textId="5C0E044F" w:rsidR="00FC302D" w:rsidRPr="00A06729" w:rsidRDefault="00C903B9">
      <w:pPr>
        <w:pStyle w:val="ListParagraph"/>
        <w:numPr>
          <w:ilvl w:val="1"/>
          <w:numId w:val="4"/>
        </w:numPr>
        <w:tabs>
          <w:tab w:val="left" w:pos="832"/>
          <w:tab w:val="left" w:pos="833"/>
        </w:tabs>
        <w:spacing w:before="1" w:line="229" w:lineRule="exact"/>
        <w:ind w:hanging="360"/>
      </w:pPr>
      <w:hyperlink r:id="rId43" w:history="1">
        <w:r w:rsidR="00935AEE" w:rsidRPr="00A06729">
          <w:rPr>
            <w:rStyle w:val="Hyperlink"/>
          </w:rPr>
          <w:t xml:space="preserve">NIHR Research Design Service (RDS) </w:t>
        </w:r>
        <w:proofErr w:type="gramStart"/>
        <w:r w:rsidR="007E3B85" w:rsidRPr="00A06729">
          <w:rPr>
            <w:rStyle w:val="Hyperlink"/>
          </w:rPr>
          <w:t>North West</w:t>
        </w:r>
        <w:proofErr w:type="gramEnd"/>
        <w:r w:rsidR="007E3B85" w:rsidRPr="00A06729">
          <w:rPr>
            <w:rStyle w:val="Hyperlink"/>
          </w:rPr>
          <w:t xml:space="preserve"> (</w:t>
        </w:r>
        <w:r w:rsidR="00935AEE" w:rsidRPr="00A06729">
          <w:rPr>
            <w:rStyle w:val="Hyperlink"/>
          </w:rPr>
          <w:t>NW</w:t>
        </w:r>
      </w:hyperlink>
      <w:r w:rsidR="007E3B85" w:rsidRPr="00A06729">
        <w:t>)</w:t>
      </w:r>
    </w:p>
    <w:p w14:paraId="32BB7C13" w14:textId="39353902" w:rsidR="00FC302D" w:rsidRPr="002361D9" w:rsidRDefault="00C903B9">
      <w:pPr>
        <w:pStyle w:val="ListParagraph"/>
        <w:numPr>
          <w:ilvl w:val="1"/>
          <w:numId w:val="4"/>
        </w:numPr>
        <w:tabs>
          <w:tab w:val="left" w:pos="832"/>
          <w:tab w:val="left" w:pos="833"/>
        </w:tabs>
        <w:spacing w:line="229" w:lineRule="exact"/>
        <w:ind w:hanging="360"/>
      </w:pPr>
      <w:hyperlink r:id="rId44" w:history="1">
        <w:r w:rsidR="00935AEE" w:rsidRPr="00A06729">
          <w:rPr>
            <w:rStyle w:val="Hyperlink"/>
          </w:rPr>
          <w:t>NIHR Clinical Research Network (CRN)</w:t>
        </w:r>
      </w:hyperlink>
      <w:r w:rsidR="00935AEE" w:rsidRPr="00A06729">
        <w:rPr>
          <w:color w:val="0000FF"/>
          <w:spacing w:val="1"/>
        </w:rPr>
        <w:t xml:space="preserve"> </w:t>
      </w:r>
    </w:p>
    <w:p w14:paraId="49D8C383" w14:textId="77777777" w:rsidR="002361D9" w:rsidRPr="00A06729" w:rsidRDefault="002361D9" w:rsidP="002361D9">
      <w:pPr>
        <w:pStyle w:val="ListParagraph"/>
        <w:tabs>
          <w:tab w:val="left" w:pos="832"/>
          <w:tab w:val="left" w:pos="833"/>
        </w:tabs>
        <w:spacing w:line="229" w:lineRule="exact"/>
        <w:ind w:left="832" w:firstLine="0"/>
      </w:pPr>
    </w:p>
    <w:p w14:paraId="5D93B2AD" w14:textId="06731EDC" w:rsidR="00FC302D" w:rsidRPr="000755D7" w:rsidRDefault="00935AEE" w:rsidP="000074A9">
      <w:pPr>
        <w:pStyle w:val="Heading2"/>
        <w:numPr>
          <w:ilvl w:val="0"/>
          <w:numId w:val="4"/>
        </w:numPr>
        <w:tabs>
          <w:tab w:val="left" w:pos="472"/>
        </w:tabs>
        <w:rPr>
          <w:sz w:val="22"/>
        </w:rPr>
      </w:pPr>
      <w:r w:rsidRPr="00A06729">
        <w:rPr>
          <w:color w:val="6F2F9F"/>
          <w:sz w:val="22"/>
        </w:rPr>
        <w:t>Examples</w:t>
      </w:r>
      <w:r w:rsidR="000927A5" w:rsidRPr="00A06729">
        <w:rPr>
          <w:color w:val="6F2F9F"/>
          <w:sz w:val="22"/>
        </w:rPr>
        <w:t xml:space="preserve"> </w:t>
      </w:r>
      <w:r w:rsidR="002361D9">
        <w:rPr>
          <w:color w:val="6F2F9F"/>
          <w:sz w:val="22"/>
        </w:rPr>
        <w:t xml:space="preserve">of </w:t>
      </w:r>
      <w:r w:rsidR="004D43DE">
        <w:rPr>
          <w:color w:val="6F2F9F"/>
          <w:sz w:val="22"/>
        </w:rPr>
        <w:t>P</w:t>
      </w:r>
      <w:r w:rsidR="002361D9">
        <w:rPr>
          <w:color w:val="6F2F9F"/>
          <w:sz w:val="22"/>
        </w:rPr>
        <w:t xml:space="preserve">ayment </w:t>
      </w:r>
      <w:r w:rsidR="004D43DE">
        <w:rPr>
          <w:color w:val="6F2F9F"/>
          <w:sz w:val="22"/>
        </w:rPr>
        <w:t>A</w:t>
      </w:r>
      <w:r w:rsidR="002361D9">
        <w:rPr>
          <w:color w:val="6F2F9F"/>
          <w:sz w:val="22"/>
        </w:rPr>
        <w:t xml:space="preserve">mounts </w:t>
      </w:r>
      <w:r w:rsidR="000927A5" w:rsidRPr="00A06729">
        <w:rPr>
          <w:color w:val="6F2F9F"/>
          <w:sz w:val="22"/>
        </w:rPr>
        <w:t xml:space="preserve">(based on </w:t>
      </w:r>
      <w:hyperlink r:id="rId45" w:history="1">
        <w:r w:rsidR="004F75E4" w:rsidRPr="004F75E4">
          <w:rPr>
            <w:rStyle w:val="Hyperlink"/>
            <w:sz w:val="22"/>
          </w:rPr>
          <w:t>NIHR Centre for Engagement and Dissemination</w:t>
        </w:r>
        <w:r w:rsidR="000927A5" w:rsidRPr="004F75E4">
          <w:rPr>
            <w:rStyle w:val="Hyperlink"/>
            <w:sz w:val="22"/>
          </w:rPr>
          <w:t xml:space="preserve"> payment policy</w:t>
        </w:r>
      </w:hyperlink>
      <w:r w:rsidR="007E3B85" w:rsidRPr="00A06729">
        <w:rPr>
          <w:color w:val="6F2F9F"/>
          <w:sz w:val="22"/>
        </w:rPr>
        <w:t>)</w:t>
      </w:r>
      <w:r w:rsidR="000074A9" w:rsidRPr="00A06729">
        <w:rPr>
          <w:color w:val="6F2F9F"/>
          <w:sz w:val="22"/>
        </w:rPr>
        <w:t xml:space="preserve"> </w:t>
      </w:r>
    </w:p>
    <w:p w14:paraId="31CCD19B" w14:textId="4B680FBF" w:rsidR="000755D7" w:rsidRDefault="000755D7" w:rsidP="000755D7">
      <w:pPr>
        <w:pStyle w:val="Heading2"/>
        <w:tabs>
          <w:tab w:val="left" w:pos="472"/>
        </w:tabs>
        <w:ind w:left="472"/>
        <w:rPr>
          <w:color w:val="6F2F9F"/>
          <w:sz w:val="22"/>
        </w:rPr>
      </w:pPr>
    </w:p>
    <w:p w14:paraId="3CCB7D0F" w14:textId="41DE9644" w:rsidR="000755D7" w:rsidRDefault="000755D7" w:rsidP="000755D7">
      <w:r>
        <w:t xml:space="preserve">The University of Manchester is </w:t>
      </w:r>
      <w:r w:rsidRPr="002361D9">
        <w:t xml:space="preserve">a Living Wage employer accredited as by the </w:t>
      </w:r>
      <w:hyperlink r:id="rId46" w:history="1">
        <w:r w:rsidRPr="002361D9">
          <w:rPr>
            <w:rStyle w:val="Hyperlink"/>
          </w:rPr>
          <w:t>Living Wage Foundation (LWF)</w:t>
        </w:r>
      </w:hyperlink>
      <w:r>
        <w:t>. Although there isn’t a standard hourly wage for Public Contributors due to the amount paid being dependent on the Public Contributor role/activity and the budget for PPIE activity available, the amount paid must at least meet the real living wage which i</w:t>
      </w:r>
      <w:r w:rsidR="00312E91">
        <w:t>s currently £9.9</w:t>
      </w:r>
      <w:r>
        <w:t xml:space="preserve">0 for people aged 18 or older (living wage correct as of </w:t>
      </w:r>
      <w:r w:rsidR="00312E91">
        <w:t>23</w:t>
      </w:r>
      <w:r w:rsidR="00FC1859">
        <w:t>/0</w:t>
      </w:r>
      <w:r w:rsidR="00312E91">
        <w:t>5</w:t>
      </w:r>
      <w:r w:rsidR="00FC1859">
        <w:t>/2</w:t>
      </w:r>
      <w:r w:rsidR="00312E91">
        <w:t>2</w:t>
      </w:r>
      <w:r>
        <w:t xml:space="preserve">). For further details </w:t>
      </w:r>
      <w:r w:rsidR="00C903B9">
        <w:t>visit the</w:t>
      </w:r>
      <w:r>
        <w:t xml:space="preserve"> </w:t>
      </w:r>
      <w:hyperlink r:id="rId47" w:history="1">
        <w:r w:rsidR="00F963FF">
          <w:rPr>
            <w:rStyle w:val="Hyperlink"/>
          </w:rPr>
          <w:t>Living Wage website</w:t>
        </w:r>
      </w:hyperlink>
      <w:r>
        <w:t xml:space="preserve">. </w:t>
      </w:r>
    </w:p>
    <w:p w14:paraId="203D4D1C" w14:textId="516CE76F" w:rsidR="00312E91" w:rsidRDefault="00312E91" w:rsidP="000755D7"/>
    <w:p w14:paraId="59F76BF5" w14:textId="38A2A394" w:rsidR="00312E91" w:rsidRDefault="00312E91" w:rsidP="000755D7">
      <w:r>
        <w:t xml:space="preserve">The NIHR recommends </w:t>
      </w:r>
      <w:r w:rsidRPr="00312E91">
        <w:t>£25</w:t>
      </w:r>
      <w:r>
        <w:t xml:space="preserve"> fo</w:t>
      </w:r>
      <w:r w:rsidRPr="00312E91">
        <w:t>r involvement in a task or activity requiring little or no preparation and which equates to approximately one hour of activity or less. For example, participating in a focus group to provide feedback on a proposal.</w:t>
      </w:r>
      <w:r>
        <w:t xml:space="preserve"> Find out more </w:t>
      </w:r>
      <w:hyperlink r:id="rId48" w:anchor="Payments_to_individuals" w:history="1">
        <w:r w:rsidR="00C903B9">
          <w:rPr>
            <w:rStyle w:val="Hyperlink"/>
          </w:rPr>
          <w:t>on the NIHR website</w:t>
        </w:r>
      </w:hyperlink>
      <w:r w:rsidR="00C903B9">
        <w:rPr>
          <w:rStyle w:val="Hyperlink"/>
        </w:rPr>
        <w:t>.</w:t>
      </w:r>
    </w:p>
    <w:p w14:paraId="65897A45" w14:textId="77777777" w:rsidR="000755D7" w:rsidRDefault="000755D7" w:rsidP="000755D7"/>
    <w:p w14:paraId="66249064" w14:textId="77777777" w:rsidR="000755D7" w:rsidRPr="00A06729" w:rsidRDefault="000755D7" w:rsidP="000755D7">
      <w:pPr>
        <w:tabs>
          <w:tab w:val="left" w:pos="820"/>
          <w:tab w:val="left" w:pos="821"/>
        </w:tabs>
        <w:spacing w:line="228" w:lineRule="exact"/>
      </w:pPr>
      <w:r w:rsidRPr="00A06729">
        <w:t>Public Contributors can also receive £5</w:t>
      </w:r>
      <w:r>
        <w:t xml:space="preserve"> contribution</w:t>
      </w:r>
      <w:r w:rsidRPr="00A06729">
        <w:t xml:space="preserve"> towards remote working costs including telephone or internet costs</w:t>
      </w:r>
      <w:r>
        <w:t xml:space="preserve"> in lieu of travel costs while working remotely</w:t>
      </w:r>
      <w:r w:rsidRPr="00A06729">
        <w:t xml:space="preserve">. This is based on </w:t>
      </w:r>
      <w:hyperlink r:id="rId49" w:history="1">
        <w:r w:rsidRPr="00A06729">
          <w:rPr>
            <w:rStyle w:val="Hyperlink"/>
          </w:rPr>
          <w:t>NIHR Centre for Engagement and Dissemination recognition payments for Public Contributors</w:t>
        </w:r>
      </w:hyperlink>
      <w:r w:rsidRPr="00A06729">
        <w:t xml:space="preserve"> guide.</w:t>
      </w:r>
    </w:p>
    <w:p w14:paraId="723102DA" w14:textId="77777777" w:rsidR="000755D7" w:rsidRPr="00A06729" w:rsidRDefault="000755D7" w:rsidP="000755D7">
      <w:pPr>
        <w:pStyle w:val="Heading2"/>
        <w:tabs>
          <w:tab w:val="left" w:pos="472"/>
        </w:tabs>
        <w:ind w:left="472"/>
        <w:rPr>
          <w:sz w:val="22"/>
        </w:rPr>
      </w:pPr>
    </w:p>
    <w:p w14:paraId="063A8585" w14:textId="77777777" w:rsidR="00FC302D" w:rsidRPr="00A06729" w:rsidRDefault="00FC302D">
      <w:pPr>
        <w:pStyle w:val="BodyText"/>
        <w:spacing w:before="5"/>
        <w:rPr>
          <w:b/>
          <w:sz w:val="24"/>
        </w:rPr>
      </w:pPr>
    </w:p>
    <w:tbl>
      <w:tblPr>
        <w:tblW w:w="8789" w:type="dxa"/>
        <w:tblInd w:w="142"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left w:w="0" w:type="dxa"/>
          <w:right w:w="0" w:type="dxa"/>
        </w:tblCellMar>
        <w:tblLook w:val="01E0" w:firstRow="1" w:lastRow="1" w:firstColumn="1" w:lastColumn="1" w:noHBand="0" w:noVBand="0"/>
      </w:tblPr>
      <w:tblGrid>
        <w:gridCol w:w="2300"/>
        <w:gridCol w:w="2051"/>
        <w:gridCol w:w="1843"/>
        <w:gridCol w:w="2595"/>
      </w:tblGrid>
      <w:tr w:rsidR="00983400" w:rsidRPr="00A06729" w14:paraId="72E42FEE" w14:textId="77777777" w:rsidTr="00C903B9">
        <w:trPr>
          <w:trHeight w:val="465"/>
        </w:trPr>
        <w:tc>
          <w:tcPr>
            <w:tcW w:w="2300" w:type="dxa"/>
            <w:tcBorders>
              <w:top w:val="nil"/>
              <w:left w:val="nil"/>
              <w:right w:val="nil"/>
            </w:tcBorders>
            <w:shd w:val="clear" w:color="auto" w:fill="8063A1"/>
          </w:tcPr>
          <w:p w14:paraId="0E20FDA9" w14:textId="77777777" w:rsidR="00983400" w:rsidRPr="00A06729" w:rsidRDefault="00983400" w:rsidP="00C25183">
            <w:pPr>
              <w:pStyle w:val="TableParagraph"/>
              <w:spacing w:before="108"/>
              <w:ind w:left="98"/>
              <w:rPr>
                <w:b/>
                <w:sz w:val="24"/>
              </w:rPr>
            </w:pPr>
            <w:r w:rsidRPr="00A06729">
              <w:rPr>
                <w:b/>
                <w:color w:val="FFFFFF"/>
                <w:sz w:val="24"/>
              </w:rPr>
              <w:t>Activity</w:t>
            </w:r>
          </w:p>
        </w:tc>
        <w:tc>
          <w:tcPr>
            <w:tcW w:w="2051" w:type="dxa"/>
            <w:tcBorders>
              <w:top w:val="nil"/>
              <w:left w:val="nil"/>
              <w:right w:val="single" w:sz="8" w:space="0" w:color="FFFFFF"/>
            </w:tcBorders>
            <w:shd w:val="clear" w:color="auto" w:fill="8063A1"/>
          </w:tcPr>
          <w:p w14:paraId="22AFF4AB" w14:textId="77777777" w:rsidR="00983400" w:rsidRPr="00A06729" w:rsidRDefault="00983400" w:rsidP="00C25183">
            <w:pPr>
              <w:pStyle w:val="TableParagraph"/>
              <w:spacing w:before="108"/>
              <w:ind w:left="109"/>
              <w:rPr>
                <w:b/>
                <w:sz w:val="24"/>
              </w:rPr>
            </w:pPr>
            <w:r w:rsidRPr="00A06729">
              <w:rPr>
                <w:b/>
                <w:color w:val="FFFFFF"/>
                <w:sz w:val="24"/>
              </w:rPr>
              <w:t>Contribution</w:t>
            </w:r>
          </w:p>
        </w:tc>
        <w:tc>
          <w:tcPr>
            <w:tcW w:w="1843" w:type="dxa"/>
            <w:tcBorders>
              <w:top w:val="nil"/>
              <w:left w:val="single" w:sz="8" w:space="0" w:color="FFFFFF"/>
              <w:right w:val="single" w:sz="8" w:space="0" w:color="FFFFFF"/>
            </w:tcBorders>
            <w:shd w:val="clear" w:color="auto" w:fill="8063A1"/>
          </w:tcPr>
          <w:p w14:paraId="534A0768" w14:textId="77777777" w:rsidR="00983400" w:rsidRPr="00A06729" w:rsidRDefault="00983400" w:rsidP="00C25183">
            <w:pPr>
              <w:pStyle w:val="TableParagraph"/>
              <w:spacing w:before="108"/>
              <w:ind w:left="98"/>
              <w:rPr>
                <w:b/>
                <w:sz w:val="24"/>
              </w:rPr>
            </w:pPr>
            <w:r w:rsidRPr="00A06729">
              <w:rPr>
                <w:b/>
                <w:color w:val="FFFFFF"/>
                <w:sz w:val="24"/>
              </w:rPr>
              <w:t>Frequency</w:t>
            </w:r>
          </w:p>
        </w:tc>
        <w:tc>
          <w:tcPr>
            <w:tcW w:w="2595" w:type="dxa"/>
            <w:tcBorders>
              <w:top w:val="nil"/>
              <w:left w:val="single" w:sz="8" w:space="0" w:color="FFFFFF"/>
              <w:right w:val="nil"/>
            </w:tcBorders>
            <w:shd w:val="clear" w:color="auto" w:fill="8063A1"/>
          </w:tcPr>
          <w:p w14:paraId="5A0AFEF7" w14:textId="77777777" w:rsidR="00983400" w:rsidRPr="00A06729" w:rsidRDefault="00983400" w:rsidP="00C25183">
            <w:pPr>
              <w:pStyle w:val="TableParagraph"/>
              <w:spacing w:before="108"/>
              <w:ind w:left="99"/>
              <w:rPr>
                <w:b/>
                <w:sz w:val="24"/>
              </w:rPr>
            </w:pPr>
            <w:r w:rsidRPr="00A06729">
              <w:rPr>
                <w:b/>
                <w:color w:val="FFFFFF"/>
                <w:sz w:val="24"/>
              </w:rPr>
              <w:t>Payment Amount and Type</w:t>
            </w:r>
          </w:p>
        </w:tc>
      </w:tr>
      <w:tr w:rsidR="00983400" w:rsidRPr="00A06729" w14:paraId="61AF2BF0" w14:textId="77777777" w:rsidTr="00C903B9">
        <w:trPr>
          <w:trHeight w:val="2517"/>
        </w:trPr>
        <w:tc>
          <w:tcPr>
            <w:tcW w:w="2300" w:type="dxa"/>
            <w:tcBorders>
              <w:left w:val="nil"/>
              <w:bottom w:val="single" w:sz="8" w:space="0" w:color="FFFFFF"/>
              <w:right w:val="single" w:sz="24" w:space="0" w:color="FFFFFF"/>
            </w:tcBorders>
            <w:shd w:val="clear" w:color="auto" w:fill="8063A1"/>
          </w:tcPr>
          <w:p w14:paraId="370FB45F" w14:textId="77777777" w:rsidR="00983400" w:rsidRPr="00A06729" w:rsidRDefault="00983400" w:rsidP="00C25183">
            <w:pPr>
              <w:pStyle w:val="TableParagraph"/>
              <w:rPr>
                <w:b/>
                <w:sz w:val="24"/>
              </w:rPr>
            </w:pPr>
          </w:p>
          <w:p w14:paraId="7087848A" w14:textId="77777777" w:rsidR="00983400" w:rsidRPr="00A06729" w:rsidRDefault="00983400" w:rsidP="00C25183">
            <w:pPr>
              <w:pStyle w:val="TableParagraph"/>
              <w:rPr>
                <w:b/>
                <w:sz w:val="24"/>
              </w:rPr>
            </w:pPr>
          </w:p>
          <w:p w14:paraId="19F48EC8" w14:textId="77777777" w:rsidR="00983400" w:rsidRPr="00A06729" w:rsidRDefault="00983400" w:rsidP="00C25183">
            <w:pPr>
              <w:pStyle w:val="TableParagraph"/>
              <w:rPr>
                <w:b/>
                <w:sz w:val="24"/>
              </w:rPr>
            </w:pPr>
          </w:p>
          <w:p w14:paraId="561650D1" w14:textId="77777777" w:rsidR="00983400" w:rsidRPr="00A06729" w:rsidRDefault="00983400" w:rsidP="00C25183">
            <w:pPr>
              <w:pStyle w:val="TableParagraph"/>
              <w:spacing w:before="7"/>
              <w:rPr>
                <w:b/>
                <w:sz w:val="24"/>
              </w:rPr>
            </w:pPr>
          </w:p>
          <w:p w14:paraId="31274AAD" w14:textId="77777777" w:rsidR="00983400" w:rsidRPr="00A06729" w:rsidRDefault="00983400" w:rsidP="00C25183">
            <w:pPr>
              <w:pStyle w:val="TableParagraph"/>
              <w:ind w:left="98"/>
            </w:pPr>
            <w:r w:rsidRPr="00A06729">
              <w:rPr>
                <w:color w:val="FFFFFF"/>
              </w:rPr>
              <w:t>E.1. Teaching and Learning</w:t>
            </w:r>
          </w:p>
        </w:tc>
        <w:tc>
          <w:tcPr>
            <w:tcW w:w="2051" w:type="dxa"/>
            <w:tcBorders>
              <w:left w:val="single" w:sz="24" w:space="0" w:color="FFFFFF"/>
              <w:bottom w:val="single" w:sz="8" w:space="0" w:color="FFFFFF"/>
              <w:right w:val="single" w:sz="8" w:space="0" w:color="FFFFFF"/>
            </w:tcBorders>
            <w:shd w:val="clear" w:color="auto" w:fill="BEB0D0"/>
          </w:tcPr>
          <w:p w14:paraId="4B68A624" w14:textId="77777777" w:rsidR="00983400" w:rsidRPr="00A06729" w:rsidRDefault="00983400" w:rsidP="00C25183">
            <w:pPr>
              <w:pStyle w:val="TableParagraph"/>
              <w:spacing w:line="215" w:lineRule="exact"/>
              <w:ind w:left="79"/>
            </w:pPr>
            <w:r w:rsidRPr="00A06729">
              <w:rPr>
                <w:color w:val="6F2F9F"/>
              </w:rPr>
              <w:t>Medical Education</w:t>
            </w:r>
          </w:p>
          <w:p w14:paraId="08BA7E03" w14:textId="77777777" w:rsidR="00983400" w:rsidRPr="00A06729" w:rsidRDefault="00983400" w:rsidP="00C25183">
            <w:pPr>
              <w:pStyle w:val="TableParagraph"/>
              <w:ind w:left="79" w:right="77"/>
            </w:pPr>
            <w:r w:rsidRPr="00A06729">
              <w:rPr>
                <w:color w:val="6F2F9F"/>
              </w:rPr>
              <w:t xml:space="preserve">Partners (MEP): Various, including supporting medical student education (student admissions, health and conduct panels, expert patients) and </w:t>
            </w:r>
            <w:proofErr w:type="gramStart"/>
            <w:r w:rsidRPr="00A06729">
              <w:rPr>
                <w:color w:val="6F2F9F"/>
              </w:rPr>
              <w:t>curriculum</w:t>
            </w:r>
            <w:proofErr w:type="gramEnd"/>
          </w:p>
          <w:p w14:paraId="7580DEC7" w14:textId="77777777" w:rsidR="00983400" w:rsidRPr="00A06729" w:rsidRDefault="00983400" w:rsidP="00C25183">
            <w:pPr>
              <w:pStyle w:val="TableParagraph"/>
              <w:spacing w:line="212" w:lineRule="exact"/>
              <w:ind w:left="79"/>
            </w:pPr>
            <w:r w:rsidRPr="00A06729">
              <w:rPr>
                <w:color w:val="6F2F9F"/>
              </w:rPr>
              <w:t>development</w:t>
            </w:r>
          </w:p>
        </w:tc>
        <w:tc>
          <w:tcPr>
            <w:tcW w:w="1843" w:type="dxa"/>
            <w:tcBorders>
              <w:left w:val="single" w:sz="8" w:space="0" w:color="FFFFFF"/>
              <w:bottom w:val="single" w:sz="8" w:space="0" w:color="FFFFFF"/>
              <w:right w:val="single" w:sz="8" w:space="0" w:color="FFFFFF"/>
            </w:tcBorders>
            <w:shd w:val="clear" w:color="auto" w:fill="BEB0D0"/>
          </w:tcPr>
          <w:p w14:paraId="6BEF6024" w14:textId="77777777" w:rsidR="00983400" w:rsidRPr="00A06729" w:rsidRDefault="00983400" w:rsidP="00C25183">
            <w:pPr>
              <w:pStyle w:val="TableParagraph"/>
              <w:rPr>
                <w:b/>
                <w:sz w:val="24"/>
              </w:rPr>
            </w:pPr>
          </w:p>
          <w:p w14:paraId="59483BFD" w14:textId="77777777" w:rsidR="00983400" w:rsidRPr="00A06729" w:rsidRDefault="00983400" w:rsidP="00C25183">
            <w:pPr>
              <w:pStyle w:val="TableParagraph"/>
              <w:rPr>
                <w:b/>
                <w:sz w:val="24"/>
              </w:rPr>
            </w:pPr>
          </w:p>
          <w:p w14:paraId="43323CF1" w14:textId="77777777" w:rsidR="00983400" w:rsidRPr="00A06729" w:rsidRDefault="00983400" w:rsidP="00C25183">
            <w:pPr>
              <w:pStyle w:val="TableParagraph"/>
              <w:rPr>
                <w:b/>
                <w:sz w:val="24"/>
              </w:rPr>
            </w:pPr>
          </w:p>
          <w:p w14:paraId="7958AFD5" w14:textId="77777777" w:rsidR="00983400" w:rsidRPr="00A06729" w:rsidRDefault="00983400" w:rsidP="00C25183">
            <w:pPr>
              <w:pStyle w:val="TableParagraph"/>
              <w:spacing w:before="7"/>
              <w:rPr>
                <w:b/>
                <w:sz w:val="36"/>
              </w:rPr>
            </w:pPr>
          </w:p>
          <w:p w14:paraId="5A5E66C1" w14:textId="77777777" w:rsidR="00983400" w:rsidRPr="00A06729" w:rsidRDefault="00983400" w:rsidP="00C25183">
            <w:pPr>
              <w:pStyle w:val="TableParagraph"/>
              <w:ind w:left="98"/>
            </w:pPr>
            <w:r w:rsidRPr="00A06729">
              <w:rPr>
                <w:color w:val="6C009D"/>
              </w:rPr>
              <w:t>Regular</w:t>
            </w:r>
          </w:p>
        </w:tc>
        <w:tc>
          <w:tcPr>
            <w:tcW w:w="2595" w:type="dxa"/>
            <w:tcBorders>
              <w:left w:val="single" w:sz="8" w:space="0" w:color="FFFFFF"/>
              <w:bottom w:val="single" w:sz="8" w:space="0" w:color="FFFFFF"/>
              <w:right w:val="nil"/>
            </w:tcBorders>
            <w:shd w:val="clear" w:color="auto" w:fill="BEB0D0"/>
          </w:tcPr>
          <w:p w14:paraId="7298D500" w14:textId="77777777" w:rsidR="00983400" w:rsidRPr="00A06729" w:rsidRDefault="00983400" w:rsidP="00C25183">
            <w:pPr>
              <w:pStyle w:val="TableParagraph"/>
              <w:rPr>
                <w:b/>
                <w:sz w:val="24"/>
              </w:rPr>
            </w:pPr>
          </w:p>
          <w:p w14:paraId="6C304780" w14:textId="77777777" w:rsidR="00983400" w:rsidRPr="00A06729" w:rsidRDefault="00983400" w:rsidP="00C25183">
            <w:pPr>
              <w:pStyle w:val="TableParagraph"/>
              <w:rPr>
                <w:b/>
                <w:sz w:val="24"/>
              </w:rPr>
            </w:pPr>
          </w:p>
          <w:p w14:paraId="1333E5ED" w14:textId="1E7C1CB4" w:rsidR="00983400" w:rsidRPr="00A06729" w:rsidRDefault="00983400" w:rsidP="00C25183">
            <w:pPr>
              <w:pStyle w:val="TableParagraph"/>
              <w:spacing w:before="167"/>
              <w:ind w:left="99"/>
            </w:pPr>
            <w:r w:rsidRPr="00A06729">
              <w:rPr>
                <w:color w:val="6F2F9F"/>
              </w:rPr>
              <w:t>£</w:t>
            </w:r>
            <w:r w:rsidR="000927A5" w:rsidRPr="00A06729">
              <w:rPr>
                <w:color w:val="6F2F9F"/>
              </w:rPr>
              <w:t>75</w:t>
            </w:r>
            <w:r w:rsidRPr="00A06729">
              <w:rPr>
                <w:color w:val="6F2F9F"/>
              </w:rPr>
              <w:t xml:space="preserve"> per half day, payment made three times per year, unless circumstances justify more regular </w:t>
            </w:r>
            <w:proofErr w:type="gramStart"/>
            <w:r w:rsidRPr="00A06729">
              <w:rPr>
                <w:color w:val="6F2F9F"/>
              </w:rPr>
              <w:t>payment</w:t>
            </w:r>
            <w:proofErr w:type="gramEnd"/>
          </w:p>
          <w:p w14:paraId="49086247" w14:textId="77777777" w:rsidR="00983400" w:rsidRPr="00A06729" w:rsidRDefault="00983400" w:rsidP="00C25183">
            <w:pPr>
              <w:pStyle w:val="TableParagraph"/>
              <w:ind w:left="99"/>
            </w:pPr>
            <w:r w:rsidRPr="00A06729">
              <w:rPr>
                <w:color w:val="6F2F9F"/>
              </w:rPr>
              <w:t>Paid through payroll (casual staff)</w:t>
            </w:r>
          </w:p>
        </w:tc>
      </w:tr>
      <w:tr w:rsidR="00983400" w:rsidRPr="00A06729" w14:paraId="1E3029DC" w14:textId="77777777" w:rsidTr="00C903B9">
        <w:trPr>
          <w:trHeight w:val="690"/>
        </w:trPr>
        <w:tc>
          <w:tcPr>
            <w:tcW w:w="2300" w:type="dxa"/>
            <w:tcBorders>
              <w:top w:val="single" w:sz="8" w:space="0" w:color="FFFFFF"/>
              <w:left w:val="nil"/>
              <w:bottom w:val="single" w:sz="8" w:space="0" w:color="FFFFFF"/>
              <w:right w:val="nil"/>
            </w:tcBorders>
            <w:shd w:val="clear" w:color="auto" w:fill="8063A1"/>
          </w:tcPr>
          <w:p w14:paraId="1835707B" w14:textId="77777777" w:rsidR="00983400" w:rsidRPr="00A06729" w:rsidRDefault="00983400" w:rsidP="00C25183">
            <w:pPr>
              <w:pStyle w:val="TableParagraph"/>
              <w:spacing w:before="112"/>
              <w:ind w:left="98" w:right="448"/>
            </w:pPr>
            <w:r w:rsidRPr="00A06729">
              <w:rPr>
                <w:color w:val="FFFFFF"/>
              </w:rPr>
              <w:t>E.2. Research Participant</w:t>
            </w:r>
          </w:p>
        </w:tc>
        <w:tc>
          <w:tcPr>
            <w:tcW w:w="2051" w:type="dxa"/>
            <w:tcBorders>
              <w:top w:val="single" w:sz="8" w:space="0" w:color="FFFFFF"/>
              <w:left w:val="nil"/>
              <w:bottom w:val="single" w:sz="8" w:space="0" w:color="FFFFFF"/>
              <w:right w:val="single" w:sz="8" w:space="0" w:color="FFFFFF"/>
            </w:tcBorders>
            <w:shd w:val="clear" w:color="auto" w:fill="DFD7E8"/>
          </w:tcPr>
          <w:p w14:paraId="5528CD70" w14:textId="77777777" w:rsidR="00983400" w:rsidRPr="00A06729" w:rsidRDefault="00983400" w:rsidP="00C25183">
            <w:pPr>
              <w:pStyle w:val="TableParagraph"/>
              <w:spacing w:line="230" w:lineRule="exact"/>
              <w:ind w:left="109" w:right="533"/>
            </w:pPr>
            <w:r w:rsidRPr="00A06729">
              <w:rPr>
                <w:color w:val="6F2F9F"/>
              </w:rPr>
              <w:t>Clinical study volunteers: foot treatment study</w:t>
            </w:r>
          </w:p>
        </w:tc>
        <w:tc>
          <w:tcPr>
            <w:tcW w:w="1843" w:type="dxa"/>
            <w:tcBorders>
              <w:top w:val="single" w:sz="8" w:space="0" w:color="FFFFFF"/>
              <w:left w:val="single" w:sz="8" w:space="0" w:color="FFFFFF"/>
              <w:bottom w:val="single" w:sz="8" w:space="0" w:color="FFFFFF"/>
              <w:right w:val="single" w:sz="8" w:space="0" w:color="FFFFFF"/>
            </w:tcBorders>
            <w:shd w:val="clear" w:color="auto" w:fill="DFD7E8"/>
          </w:tcPr>
          <w:p w14:paraId="195E28B7" w14:textId="77777777" w:rsidR="00983400" w:rsidRPr="00A06729" w:rsidRDefault="00983400" w:rsidP="00C25183">
            <w:pPr>
              <w:pStyle w:val="TableParagraph"/>
              <w:spacing w:before="8"/>
              <w:rPr>
                <w:b/>
                <w:sz w:val="20"/>
              </w:rPr>
            </w:pPr>
          </w:p>
          <w:p w14:paraId="4C4CC4F4" w14:textId="77777777" w:rsidR="00983400" w:rsidRPr="00A06729" w:rsidRDefault="00983400" w:rsidP="00C25183">
            <w:pPr>
              <w:pStyle w:val="TableParagraph"/>
              <w:ind w:left="98"/>
            </w:pPr>
            <w:r w:rsidRPr="00A06729">
              <w:rPr>
                <w:color w:val="6C009D"/>
              </w:rPr>
              <w:t>4 visits</w:t>
            </w:r>
          </w:p>
        </w:tc>
        <w:tc>
          <w:tcPr>
            <w:tcW w:w="2595" w:type="dxa"/>
            <w:tcBorders>
              <w:top w:val="single" w:sz="8" w:space="0" w:color="FFFFFF"/>
              <w:left w:val="single" w:sz="8" w:space="0" w:color="FFFFFF"/>
              <w:bottom w:val="single" w:sz="8" w:space="0" w:color="FFFFFF"/>
              <w:right w:val="nil"/>
            </w:tcBorders>
            <w:shd w:val="clear" w:color="auto" w:fill="DFD7E8"/>
          </w:tcPr>
          <w:p w14:paraId="382CA1A1" w14:textId="77777777" w:rsidR="00983400" w:rsidRPr="00A06729" w:rsidRDefault="00983400" w:rsidP="00C25183">
            <w:pPr>
              <w:pStyle w:val="TableParagraph"/>
              <w:spacing w:before="112"/>
              <w:ind w:left="99"/>
            </w:pPr>
            <w:r w:rsidRPr="00A06729">
              <w:rPr>
                <w:color w:val="6F2F9F"/>
              </w:rPr>
              <w:t>Travel and £10 per visit</w:t>
            </w:r>
          </w:p>
          <w:p w14:paraId="234160ED" w14:textId="77777777" w:rsidR="00983400" w:rsidRPr="00A06729" w:rsidRDefault="00983400" w:rsidP="00C25183">
            <w:pPr>
              <w:pStyle w:val="TableParagraph"/>
              <w:ind w:left="99"/>
            </w:pPr>
            <w:r w:rsidRPr="00A06729">
              <w:rPr>
                <w:color w:val="6F2F9F"/>
              </w:rPr>
              <w:t>Paid in cash (via cash advance)</w:t>
            </w:r>
          </w:p>
        </w:tc>
      </w:tr>
      <w:tr w:rsidR="00983400" w:rsidRPr="00A06729" w14:paraId="0CC2243A" w14:textId="77777777" w:rsidTr="00C903B9">
        <w:trPr>
          <w:trHeight w:val="1148"/>
        </w:trPr>
        <w:tc>
          <w:tcPr>
            <w:tcW w:w="2300" w:type="dxa"/>
            <w:tcBorders>
              <w:top w:val="single" w:sz="8" w:space="0" w:color="FFFFFF"/>
              <w:left w:val="nil"/>
              <w:bottom w:val="single" w:sz="8" w:space="0" w:color="FFFFFF"/>
              <w:right w:val="single" w:sz="24" w:space="0" w:color="FFFFFF"/>
            </w:tcBorders>
            <w:shd w:val="clear" w:color="auto" w:fill="8063A1"/>
          </w:tcPr>
          <w:p w14:paraId="38C29485" w14:textId="77777777" w:rsidR="00983400" w:rsidRPr="00A06729" w:rsidRDefault="00983400" w:rsidP="00C25183">
            <w:pPr>
              <w:pStyle w:val="TableParagraph"/>
              <w:spacing w:before="8"/>
              <w:rPr>
                <w:b/>
                <w:sz w:val="32"/>
              </w:rPr>
            </w:pPr>
          </w:p>
          <w:p w14:paraId="1BC8839E" w14:textId="345CBACC" w:rsidR="00983400" w:rsidRPr="00A06729" w:rsidRDefault="00983400" w:rsidP="000927A5">
            <w:pPr>
              <w:pStyle w:val="TableParagraph"/>
              <w:spacing w:before="1"/>
              <w:ind w:left="98"/>
            </w:pPr>
            <w:r w:rsidRPr="00A06729">
              <w:rPr>
                <w:color w:val="FFFFFF"/>
              </w:rPr>
              <w:t xml:space="preserve">E.3. </w:t>
            </w:r>
            <w:r w:rsidR="00D06CCA" w:rsidRPr="00A06729">
              <w:rPr>
                <w:color w:val="FFFFFF"/>
              </w:rPr>
              <w:t>PPI</w:t>
            </w:r>
            <w:r w:rsidR="000927A5" w:rsidRPr="00A06729">
              <w:rPr>
                <w:color w:val="FFFFFF"/>
              </w:rPr>
              <w:t>E</w:t>
            </w:r>
            <w:r w:rsidRPr="00A06729">
              <w:rPr>
                <w:color w:val="FFFFFF"/>
              </w:rPr>
              <w:t xml:space="preserve"> forum Public Contributor</w:t>
            </w:r>
          </w:p>
        </w:tc>
        <w:tc>
          <w:tcPr>
            <w:tcW w:w="2051" w:type="dxa"/>
            <w:tcBorders>
              <w:top w:val="single" w:sz="8" w:space="0" w:color="FFFFFF"/>
              <w:left w:val="single" w:sz="24" w:space="0" w:color="FFFFFF"/>
              <w:bottom w:val="single" w:sz="8" w:space="0" w:color="FFFFFF"/>
              <w:right w:val="single" w:sz="8" w:space="0" w:color="FFFFFF"/>
            </w:tcBorders>
            <w:shd w:val="clear" w:color="auto" w:fill="BEB0D0"/>
          </w:tcPr>
          <w:p w14:paraId="766DFAF1" w14:textId="77777777" w:rsidR="00983400" w:rsidRPr="00A06729" w:rsidRDefault="00983400" w:rsidP="00C25183">
            <w:pPr>
              <w:pStyle w:val="TableParagraph"/>
              <w:spacing w:before="8"/>
              <w:rPr>
                <w:b/>
                <w:sz w:val="32"/>
              </w:rPr>
            </w:pPr>
          </w:p>
          <w:p w14:paraId="7440F8BE" w14:textId="77777777" w:rsidR="00983400" w:rsidRPr="00A06729" w:rsidRDefault="00983400" w:rsidP="00C25183">
            <w:pPr>
              <w:pStyle w:val="TableParagraph"/>
              <w:spacing w:before="1"/>
              <w:ind w:left="79" w:right="177"/>
            </w:pPr>
            <w:r w:rsidRPr="00A06729">
              <w:rPr>
                <w:color w:val="6F2F9F"/>
              </w:rPr>
              <w:t>Advising Faculty on PPIE</w:t>
            </w:r>
          </w:p>
        </w:tc>
        <w:tc>
          <w:tcPr>
            <w:tcW w:w="1843" w:type="dxa"/>
            <w:tcBorders>
              <w:top w:val="single" w:sz="8" w:space="0" w:color="FFFFFF"/>
              <w:left w:val="single" w:sz="8" w:space="0" w:color="FFFFFF"/>
              <w:bottom w:val="single" w:sz="8" w:space="0" w:color="FFFFFF"/>
              <w:right w:val="single" w:sz="8" w:space="0" w:color="FFFFFF"/>
            </w:tcBorders>
            <w:shd w:val="clear" w:color="auto" w:fill="BEB0D0"/>
          </w:tcPr>
          <w:p w14:paraId="7B938156" w14:textId="77777777" w:rsidR="00983400" w:rsidRPr="00A06729" w:rsidRDefault="00983400" w:rsidP="00C25183">
            <w:pPr>
              <w:pStyle w:val="TableParagraph"/>
              <w:spacing w:line="227" w:lineRule="exact"/>
              <w:ind w:left="98"/>
            </w:pPr>
            <w:r w:rsidRPr="00A06729">
              <w:rPr>
                <w:color w:val="6F2F9F"/>
              </w:rPr>
              <w:t>4 meetings per</w:t>
            </w:r>
          </w:p>
          <w:p w14:paraId="64D5CB3B" w14:textId="77777777" w:rsidR="00983400" w:rsidRPr="00A06729" w:rsidRDefault="00983400" w:rsidP="00C25183">
            <w:pPr>
              <w:pStyle w:val="TableParagraph"/>
              <w:ind w:left="98" w:right="155"/>
            </w:pPr>
            <w:r w:rsidRPr="00A06729">
              <w:rPr>
                <w:color w:val="6F2F9F"/>
              </w:rPr>
              <w:t>year (2 hours each) plus reading papers in</w:t>
            </w:r>
          </w:p>
          <w:p w14:paraId="78E29489" w14:textId="77777777" w:rsidR="00983400" w:rsidRPr="00A06729" w:rsidRDefault="00983400" w:rsidP="00C25183">
            <w:pPr>
              <w:pStyle w:val="TableParagraph"/>
              <w:spacing w:line="212" w:lineRule="exact"/>
              <w:ind w:left="98"/>
            </w:pPr>
            <w:r w:rsidRPr="00A06729">
              <w:rPr>
                <w:color w:val="6F2F9F"/>
              </w:rPr>
              <w:t>advance</w:t>
            </w:r>
          </w:p>
        </w:tc>
        <w:tc>
          <w:tcPr>
            <w:tcW w:w="2595" w:type="dxa"/>
            <w:tcBorders>
              <w:top w:val="single" w:sz="8" w:space="0" w:color="FFFFFF"/>
              <w:left w:val="single" w:sz="8" w:space="0" w:color="FFFFFF"/>
              <w:bottom w:val="single" w:sz="8" w:space="0" w:color="FFFFFF"/>
              <w:right w:val="nil"/>
            </w:tcBorders>
            <w:shd w:val="clear" w:color="auto" w:fill="BEB0D0"/>
          </w:tcPr>
          <w:p w14:paraId="27694082" w14:textId="77777777" w:rsidR="00983400" w:rsidRPr="00A06729" w:rsidRDefault="00983400" w:rsidP="00C25183">
            <w:pPr>
              <w:pStyle w:val="TableParagraph"/>
              <w:spacing w:before="8"/>
              <w:rPr>
                <w:b/>
                <w:sz w:val="20"/>
              </w:rPr>
            </w:pPr>
          </w:p>
          <w:p w14:paraId="0BDC9512" w14:textId="1F23CD20" w:rsidR="00983400" w:rsidRPr="00A06729" w:rsidRDefault="00983400" w:rsidP="00C25183">
            <w:pPr>
              <w:pStyle w:val="TableParagraph"/>
              <w:ind w:left="99"/>
            </w:pPr>
            <w:r w:rsidRPr="00A06729">
              <w:rPr>
                <w:color w:val="6F2F9F"/>
              </w:rPr>
              <w:t>£</w:t>
            </w:r>
            <w:r w:rsidR="000927A5" w:rsidRPr="00A06729">
              <w:rPr>
                <w:color w:val="6F2F9F"/>
              </w:rPr>
              <w:t>6</w:t>
            </w:r>
            <w:r w:rsidRPr="00A06729">
              <w:rPr>
                <w:color w:val="6F2F9F"/>
              </w:rPr>
              <w:t>0 per meeting plus travel expenses</w:t>
            </w:r>
            <w:r w:rsidR="009D5C71" w:rsidRPr="00A06729">
              <w:rPr>
                <w:color w:val="6F2F9F"/>
              </w:rPr>
              <w:t>/£5 contribution for internet costs</w:t>
            </w:r>
          </w:p>
          <w:p w14:paraId="284F7ED9" w14:textId="38C66C95" w:rsidR="00983400" w:rsidRPr="00A06729" w:rsidRDefault="00983400" w:rsidP="00C25183">
            <w:pPr>
              <w:pStyle w:val="TableParagraph"/>
              <w:spacing w:line="228" w:lineRule="exact"/>
              <w:ind w:left="99"/>
            </w:pPr>
            <w:r w:rsidRPr="00A06729">
              <w:rPr>
                <w:color w:val="6F2F9F"/>
              </w:rPr>
              <w:t>Paid in cash (via cash advance)</w:t>
            </w:r>
            <w:r w:rsidR="009D5C71" w:rsidRPr="00A06729">
              <w:rPr>
                <w:color w:val="6F2F9F"/>
              </w:rPr>
              <w:t xml:space="preserve"> or PR20 form</w:t>
            </w:r>
          </w:p>
        </w:tc>
      </w:tr>
      <w:tr w:rsidR="00983400" w:rsidRPr="00A06729" w14:paraId="28D1284C" w14:textId="77777777" w:rsidTr="00C903B9">
        <w:trPr>
          <w:trHeight w:val="264"/>
        </w:trPr>
        <w:tc>
          <w:tcPr>
            <w:tcW w:w="2300" w:type="dxa"/>
            <w:tcBorders>
              <w:top w:val="single" w:sz="8" w:space="0" w:color="FFFFFF"/>
              <w:left w:val="nil"/>
              <w:bottom w:val="single" w:sz="12" w:space="0" w:color="FFFFFF"/>
              <w:right w:val="nil"/>
            </w:tcBorders>
            <w:shd w:val="clear" w:color="auto" w:fill="8063A1"/>
          </w:tcPr>
          <w:p w14:paraId="0EF46CEF" w14:textId="77777777" w:rsidR="00983400" w:rsidRPr="00A06729" w:rsidRDefault="00983400" w:rsidP="00C25183">
            <w:pPr>
              <w:pStyle w:val="TableParagraph"/>
              <w:rPr>
                <w:b/>
                <w:sz w:val="24"/>
              </w:rPr>
            </w:pPr>
          </w:p>
          <w:p w14:paraId="5203D893" w14:textId="77777777" w:rsidR="00983400" w:rsidRPr="00A06729" w:rsidRDefault="00983400" w:rsidP="00C25183">
            <w:pPr>
              <w:pStyle w:val="TableParagraph"/>
              <w:spacing w:before="9"/>
              <w:rPr>
                <w:b/>
                <w:sz w:val="18"/>
              </w:rPr>
            </w:pPr>
          </w:p>
          <w:p w14:paraId="789871BD" w14:textId="77777777" w:rsidR="00983400" w:rsidRPr="00A06729" w:rsidRDefault="00983400" w:rsidP="00C25183">
            <w:pPr>
              <w:pStyle w:val="TableParagraph"/>
              <w:ind w:left="98" w:right="448"/>
            </w:pPr>
            <w:r w:rsidRPr="00A06729">
              <w:rPr>
                <w:color w:val="FFFFFF"/>
              </w:rPr>
              <w:t>E.4. NIHR research project</w:t>
            </w:r>
          </w:p>
        </w:tc>
        <w:tc>
          <w:tcPr>
            <w:tcW w:w="2051" w:type="dxa"/>
            <w:tcBorders>
              <w:top w:val="single" w:sz="8" w:space="0" w:color="FFFFFF"/>
              <w:left w:val="nil"/>
              <w:bottom w:val="single" w:sz="12" w:space="0" w:color="FFFFFF"/>
              <w:right w:val="single" w:sz="8" w:space="0" w:color="FFFFFF"/>
            </w:tcBorders>
            <w:shd w:val="clear" w:color="auto" w:fill="DFD7E8"/>
          </w:tcPr>
          <w:p w14:paraId="0B5066E9" w14:textId="77777777" w:rsidR="00983400" w:rsidRPr="00A06729" w:rsidRDefault="00983400" w:rsidP="00C25183">
            <w:pPr>
              <w:pStyle w:val="TableParagraph"/>
              <w:ind w:left="109" w:right="189"/>
            </w:pPr>
            <w:r w:rsidRPr="00A06729">
              <w:rPr>
                <w:color w:val="6F2F9F"/>
              </w:rPr>
              <w:t xml:space="preserve">Co-applicant and Service User Research Assistant (SUR): </w:t>
            </w:r>
            <w:proofErr w:type="gramStart"/>
            <w:r w:rsidRPr="00A06729">
              <w:rPr>
                <w:color w:val="6F2F9F"/>
              </w:rPr>
              <w:t>conducting</w:t>
            </w:r>
            <w:proofErr w:type="gramEnd"/>
          </w:p>
          <w:p w14:paraId="2688A6E1" w14:textId="77777777" w:rsidR="00983400" w:rsidRPr="00A06729" w:rsidRDefault="00983400" w:rsidP="00C25183">
            <w:pPr>
              <w:pStyle w:val="TableParagraph"/>
              <w:spacing w:before="4" w:line="228" w:lineRule="exact"/>
              <w:ind w:left="109" w:right="244"/>
            </w:pPr>
            <w:r w:rsidRPr="00A06729">
              <w:rPr>
                <w:color w:val="6F2F9F"/>
              </w:rPr>
              <w:t xml:space="preserve">data collection </w:t>
            </w:r>
            <w:r w:rsidRPr="00A06729">
              <w:rPr>
                <w:color w:val="6F2F9F"/>
              </w:rPr>
              <w:lastRenderedPageBreak/>
              <w:t>and analysis</w:t>
            </w:r>
          </w:p>
        </w:tc>
        <w:tc>
          <w:tcPr>
            <w:tcW w:w="1843" w:type="dxa"/>
            <w:tcBorders>
              <w:top w:val="single" w:sz="8" w:space="0" w:color="FFFFFF"/>
              <w:left w:val="single" w:sz="8" w:space="0" w:color="FFFFFF"/>
              <w:bottom w:val="single" w:sz="12" w:space="0" w:color="FFFFFF"/>
              <w:right w:val="single" w:sz="8" w:space="0" w:color="FFFFFF"/>
            </w:tcBorders>
            <w:shd w:val="clear" w:color="auto" w:fill="DFD7E8"/>
          </w:tcPr>
          <w:p w14:paraId="6376BBFC" w14:textId="77777777" w:rsidR="00983400" w:rsidRPr="00A06729" w:rsidRDefault="00983400" w:rsidP="00C25183">
            <w:pPr>
              <w:pStyle w:val="TableParagraph"/>
              <w:rPr>
                <w:b/>
                <w:sz w:val="24"/>
              </w:rPr>
            </w:pPr>
          </w:p>
          <w:p w14:paraId="5D169FDE" w14:textId="77777777" w:rsidR="00983400" w:rsidRPr="00A06729" w:rsidRDefault="00983400" w:rsidP="00C25183">
            <w:pPr>
              <w:pStyle w:val="TableParagraph"/>
              <w:spacing w:before="9"/>
              <w:rPr>
                <w:b/>
                <w:sz w:val="18"/>
              </w:rPr>
            </w:pPr>
          </w:p>
          <w:p w14:paraId="47FFE203" w14:textId="77777777" w:rsidR="00983400" w:rsidRPr="00A06729" w:rsidRDefault="00983400" w:rsidP="00C25183">
            <w:pPr>
              <w:pStyle w:val="TableParagraph"/>
              <w:ind w:left="98"/>
            </w:pPr>
            <w:r w:rsidRPr="00A06729">
              <w:rPr>
                <w:color w:val="6F2F9F"/>
              </w:rPr>
              <w:t>Two months on a</w:t>
            </w:r>
          </w:p>
          <w:p w14:paraId="3E8E692D" w14:textId="77777777" w:rsidR="00983400" w:rsidRPr="00A06729" w:rsidRDefault="00983400" w:rsidP="00C25183">
            <w:pPr>
              <w:pStyle w:val="TableParagraph"/>
              <w:spacing w:before="1"/>
              <w:ind w:left="98"/>
            </w:pPr>
            <w:r w:rsidRPr="00A06729">
              <w:rPr>
                <w:color w:val="6F2F9F"/>
              </w:rPr>
              <w:t>0.5 WTE contract</w:t>
            </w:r>
          </w:p>
        </w:tc>
        <w:tc>
          <w:tcPr>
            <w:tcW w:w="2595" w:type="dxa"/>
            <w:tcBorders>
              <w:top w:val="single" w:sz="8" w:space="0" w:color="FFFFFF"/>
              <w:left w:val="single" w:sz="8" w:space="0" w:color="FFFFFF"/>
              <w:bottom w:val="single" w:sz="12" w:space="0" w:color="FFFFFF"/>
              <w:right w:val="nil"/>
            </w:tcBorders>
            <w:shd w:val="clear" w:color="auto" w:fill="DFD7E8"/>
          </w:tcPr>
          <w:p w14:paraId="7865C640" w14:textId="77777777" w:rsidR="00983400" w:rsidRPr="00A06729" w:rsidRDefault="00983400" w:rsidP="00C25183">
            <w:pPr>
              <w:pStyle w:val="TableParagraph"/>
              <w:rPr>
                <w:b/>
                <w:sz w:val="24"/>
              </w:rPr>
            </w:pPr>
          </w:p>
          <w:p w14:paraId="73737C75" w14:textId="77777777" w:rsidR="00983400" w:rsidRPr="00A06729" w:rsidRDefault="00983400" w:rsidP="00C25183">
            <w:pPr>
              <w:pStyle w:val="TableParagraph"/>
              <w:spacing w:before="9"/>
              <w:rPr>
                <w:b/>
                <w:sz w:val="18"/>
              </w:rPr>
            </w:pPr>
          </w:p>
          <w:p w14:paraId="307A9468" w14:textId="77777777" w:rsidR="00983400" w:rsidRPr="00A06729" w:rsidRDefault="00983400" w:rsidP="00C25183">
            <w:pPr>
              <w:pStyle w:val="TableParagraph"/>
              <w:ind w:left="99"/>
            </w:pPr>
            <w:r w:rsidRPr="00A06729">
              <w:rPr>
                <w:color w:val="6F2F9F"/>
              </w:rPr>
              <w:t>£14.16 per hour</w:t>
            </w:r>
          </w:p>
          <w:p w14:paraId="699C3604" w14:textId="77777777" w:rsidR="00983400" w:rsidRPr="00A06729" w:rsidRDefault="00983400" w:rsidP="00C25183">
            <w:pPr>
              <w:pStyle w:val="TableParagraph"/>
              <w:spacing w:before="1"/>
              <w:ind w:left="99"/>
            </w:pPr>
            <w:r w:rsidRPr="00A06729">
              <w:rPr>
                <w:color w:val="6F2F9F"/>
              </w:rPr>
              <w:t>Paid through payroll (casual staff)</w:t>
            </w:r>
          </w:p>
        </w:tc>
      </w:tr>
      <w:tr w:rsidR="00983400" w:rsidRPr="00A06729" w14:paraId="63B91CF3" w14:textId="77777777" w:rsidTr="00C903B9">
        <w:trPr>
          <w:trHeight w:val="680"/>
        </w:trPr>
        <w:tc>
          <w:tcPr>
            <w:tcW w:w="2300" w:type="dxa"/>
            <w:tcBorders>
              <w:top w:val="single" w:sz="12" w:space="0" w:color="FFFFFF"/>
              <w:left w:val="nil"/>
              <w:bottom w:val="nil"/>
              <w:right w:val="single" w:sz="24" w:space="0" w:color="FFFFFF"/>
            </w:tcBorders>
            <w:shd w:val="clear" w:color="auto" w:fill="8063A1"/>
          </w:tcPr>
          <w:p w14:paraId="7B03B436" w14:textId="77777777" w:rsidR="00983400" w:rsidRPr="00A06729" w:rsidRDefault="00983400" w:rsidP="00C25183">
            <w:pPr>
              <w:pStyle w:val="TableParagraph"/>
              <w:spacing w:before="9"/>
              <w:rPr>
                <w:b/>
                <w:sz w:val="20"/>
              </w:rPr>
            </w:pPr>
          </w:p>
          <w:p w14:paraId="58257C31" w14:textId="77777777" w:rsidR="00983400" w:rsidRPr="00A06729" w:rsidRDefault="00983400" w:rsidP="00C25183">
            <w:pPr>
              <w:pStyle w:val="TableParagraph"/>
              <w:spacing w:before="1"/>
              <w:ind w:left="98"/>
            </w:pPr>
            <w:r w:rsidRPr="00A06729">
              <w:rPr>
                <w:color w:val="FFFFFF"/>
              </w:rPr>
              <w:t>E.5. PPI training</w:t>
            </w:r>
          </w:p>
        </w:tc>
        <w:tc>
          <w:tcPr>
            <w:tcW w:w="2051" w:type="dxa"/>
            <w:tcBorders>
              <w:top w:val="single" w:sz="12" w:space="0" w:color="FFFFFF"/>
              <w:left w:val="single" w:sz="24" w:space="0" w:color="FFFFFF"/>
              <w:bottom w:val="nil"/>
              <w:right w:val="single" w:sz="8" w:space="0" w:color="FFFFFF"/>
            </w:tcBorders>
            <w:shd w:val="clear" w:color="auto" w:fill="BEB0D0"/>
          </w:tcPr>
          <w:p w14:paraId="311A5851" w14:textId="77777777" w:rsidR="00983400" w:rsidRPr="00A06729" w:rsidRDefault="00983400" w:rsidP="00C25183">
            <w:pPr>
              <w:pStyle w:val="TableParagraph"/>
              <w:spacing w:line="237" w:lineRule="auto"/>
              <w:ind w:left="79" w:right="144"/>
            </w:pPr>
            <w:r w:rsidRPr="00A06729">
              <w:rPr>
                <w:color w:val="6F2F9F"/>
              </w:rPr>
              <w:t>Bringing experience to PPI learning</w:t>
            </w:r>
          </w:p>
          <w:p w14:paraId="5ABAE035" w14:textId="77777777" w:rsidR="00983400" w:rsidRPr="00A06729" w:rsidRDefault="00983400" w:rsidP="00C25183">
            <w:pPr>
              <w:pStyle w:val="TableParagraph"/>
              <w:spacing w:line="213" w:lineRule="exact"/>
              <w:ind w:left="79"/>
            </w:pPr>
            <w:r w:rsidRPr="00A06729">
              <w:rPr>
                <w:color w:val="6F2F9F"/>
              </w:rPr>
              <w:t>groups</w:t>
            </w:r>
          </w:p>
        </w:tc>
        <w:tc>
          <w:tcPr>
            <w:tcW w:w="1843" w:type="dxa"/>
            <w:tcBorders>
              <w:top w:val="single" w:sz="12" w:space="0" w:color="FFFFFF"/>
              <w:left w:val="single" w:sz="8" w:space="0" w:color="FFFFFF"/>
              <w:bottom w:val="nil"/>
              <w:right w:val="single" w:sz="8" w:space="0" w:color="FFFFFF"/>
            </w:tcBorders>
            <w:shd w:val="clear" w:color="auto" w:fill="BEB0D0"/>
          </w:tcPr>
          <w:p w14:paraId="4E3847B7" w14:textId="77777777" w:rsidR="00983400" w:rsidRPr="00A06729" w:rsidRDefault="00983400" w:rsidP="00C25183">
            <w:pPr>
              <w:pStyle w:val="TableParagraph"/>
              <w:spacing w:line="219" w:lineRule="exact"/>
              <w:ind w:left="98"/>
            </w:pPr>
            <w:r w:rsidRPr="00A06729">
              <w:rPr>
                <w:color w:val="6F2F9F"/>
              </w:rPr>
              <w:t>As required</w:t>
            </w:r>
          </w:p>
        </w:tc>
        <w:tc>
          <w:tcPr>
            <w:tcW w:w="2595" w:type="dxa"/>
            <w:tcBorders>
              <w:top w:val="single" w:sz="12" w:space="0" w:color="FFFFFF"/>
              <w:left w:val="single" w:sz="8" w:space="0" w:color="FFFFFF"/>
              <w:bottom w:val="nil"/>
              <w:right w:val="nil"/>
            </w:tcBorders>
            <w:shd w:val="clear" w:color="auto" w:fill="BEB0D0"/>
          </w:tcPr>
          <w:p w14:paraId="246A8758" w14:textId="77777777" w:rsidR="00392298" w:rsidRPr="00A06729" w:rsidRDefault="00983400" w:rsidP="00392298">
            <w:pPr>
              <w:pStyle w:val="TableParagraph"/>
              <w:ind w:left="99"/>
            </w:pPr>
            <w:r w:rsidRPr="00A06729">
              <w:rPr>
                <w:color w:val="6F2F9F"/>
              </w:rPr>
              <w:t>£150 for 4 hours plus £25 travel</w:t>
            </w:r>
            <w:r w:rsidR="00392298" w:rsidRPr="00A06729">
              <w:rPr>
                <w:color w:val="6F2F9F"/>
              </w:rPr>
              <w:t>/£5 contribution for internet costs</w:t>
            </w:r>
          </w:p>
          <w:p w14:paraId="602417FD" w14:textId="4F68A9A3" w:rsidR="00983400" w:rsidRPr="00A06729" w:rsidRDefault="00983400" w:rsidP="00C25183">
            <w:pPr>
              <w:pStyle w:val="TableParagraph"/>
              <w:spacing w:line="237" w:lineRule="auto"/>
              <w:ind w:left="99"/>
            </w:pPr>
            <w:r w:rsidRPr="00A06729">
              <w:rPr>
                <w:color w:val="6F2F9F"/>
              </w:rPr>
              <w:t>Paid through PR20 form</w:t>
            </w:r>
          </w:p>
        </w:tc>
      </w:tr>
    </w:tbl>
    <w:p w14:paraId="4F988086" w14:textId="77777777" w:rsidR="00920BC1" w:rsidRPr="00A06729" w:rsidRDefault="00920BC1">
      <w:pPr>
        <w:rPr>
          <w:sz w:val="24"/>
        </w:rPr>
      </w:pPr>
    </w:p>
    <w:p w14:paraId="4369FC29" w14:textId="7A54A7A1" w:rsidR="00D02651" w:rsidRDefault="005D3F0F">
      <w:r w:rsidRPr="00A06729">
        <w:t>Example payment amounts subject to change</w:t>
      </w:r>
      <w:r w:rsidR="00A06729">
        <w:t xml:space="preserve">, for </w:t>
      </w:r>
      <w:proofErr w:type="gramStart"/>
      <w:r w:rsidR="00A06729">
        <w:t>up to date</w:t>
      </w:r>
      <w:proofErr w:type="gramEnd"/>
      <w:r w:rsidR="00A06729">
        <w:t xml:space="preserve"> details please contact the relevant department</w:t>
      </w:r>
      <w:r w:rsidR="004F75E4">
        <w:t>/organisation</w:t>
      </w:r>
      <w:r w:rsidRPr="00A06729">
        <w:t xml:space="preserve">. </w:t>
      </w:r>
    </w:p>
    <w:p w14:paraId="1C7B6ED7" w14:textId="04FECF07" w:rsidR="002361D9" w:rsidRDefault="002361D9"/>
    <w:p w14:paraId="38029E24" w14:textId="77777777" w:rsidR="000755D7" w:rsidRPr="00A06729" w:rsidRDefault="000755D7" w:rsidP="000755D7">
      <w:pPr>
        <w:pStyle w:val="BodyText"/>
        <w:rPr>
          <w:sz w:val="24"/>
        </w:rPr>
      </w:pPr>
    </w:p>
    <w:p w14:paraId="0172FC6E" w14:textId="77777777" w:rsidR="000755D7" w:rsidRPr="00A06729" w:rsidRDefault="000755D7"/>
    <w:sectPr w:rsidR="000755D7" w:rsidRPr="00A06729" w:rsidSect="006B502E">
      <w:headerReference w:type="default" r:id="rId50"/>
      <w:footerReference w:type="default" r:id="rId51"/>
      <w:pgSz w:w="11910" w:h="16840"/>
      <w:pgMar w:top="1560" w:right="1440" w:bottom="1440" w:left="1440" w:header="608"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A241" w14:textId="77777777" w:rsidR="00C25183" w:rsidRDefault="00C25183">
      <w:r>
        <w:separator/>
      </w:r>
    </w:p>
  </w:endnote>
  <w:endnote w:type="continuationSeparator" w:id="0">
    <w:p w14:paraId="123FBE3B" w14:textId="77777777" w:rsidR="00C25183" w:rsidRDefault="00C2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C40" w14:textId="465AB4BD" w:rsidR="00FC302D" w:rsidRDefault="004F75E4">
    <w:pPr>
      <w:pStyle w:val="BodyText"/>
      <w:spacing w:line="14" w:lineRule="auto"/>
    </w:pPr>
    <w:r>
      <w:rPr>
        <w:noProof/>
        <w:lang w:bidi="ar-SA"/>
      </w:rPr>
      <mc:AlternateContent>
        <mc:Choice Requires="wps">
          <w:drawing>
            <wp:anchor distT="0" distB="0" distL="114300" distR="114300" simplePos="0" relativeHeight="503305160" behindDoc="1" locked="0" layoutInCell="1" allowOverlap="1" wp14:anchorId="058B8579" wp14:editId="503F67E5">
              <wp:simplePos x="0" y="0"/>
              <wp:positionH relativeFrom="page">
                <wp:posOffset>4248151</wp:posOffset>
              </wp:positionH>
              <wp:positionV relativeFrom="page">
                <wp:posOffset>10010775</wp:posOffset>
              </wp:positionV>
              <wp:extent cx="2890520" cy="328930"/>
              <wp:effectExtent l="0" t="0" r="5080"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3BCB" w14:textId="77777777" w:rsidR="00FC302D" w:rsidRPr="008A4F78" w:rsidRDefault="00935AEE">
                          <w:pPr>
                            <w:spacing w:before="14"/>
                            <w:ind w:left="20"/>
                            <w:rPr>
                              <w:sz w:val="14"/>
                            </w:rPr>
                          </w:pPr>
                          <w:r w:rsidRPr="008A4F78">
                            <w:rPr>
                              <w:sz w:val="14"/>
                            </w:rPr>
                            <w:t>FBMH Guidance on Fees and Payments: Involvement &amp; Participation</w:t>
                          </w:r>
                        </w:p>
                        <w:p w14:paraId="6AB1A9A5" w14:textId="2B9E69C8" w:rsidR="00FC302D" w:rsidRPr="008A4F78" w:rsidRDefault="00935AEE">
                          <w:pPr>
                            <w:ind w:left="2780" w:right="1" w:firstLine="55"/>
                            <w:rPr>
                              <w:sz w:val="14"/>
                            </w:rPr>
                          </w:pPr>
                          <w:r w:rsidRPr="008A4F78">
                            <w:rPr>
                              <w:sz w:val="14"/>
                            </w:rPr>
                            <w:t>Author: Hawys</w:t>
                          </w:r>
                          <w:r w:rsidR="00BA3808" w:rsidRPr="008A4F78">
                            <w:rPr>
                              <w:sz w:val="14"/>
                            </w:rPr>
                            <w:t xml:space="preserve"> Williams Last update: 20</w:t>
                          </w:r>
                          <w:r w:rsidR="008A4F78">
                            <w:rPr>
                              <w:sz w:val="14"/>
                            </w:rPr>
                            <w:t>2</w:t>
                          </w:r>
                          <w:r w:rsidR="00C903B9">
                            <w:rPr>
                              <w:sz w:val="14"/>
                            </w:rPr>
                            <w:t>3</w:t>
                          </w:r>
                          <w:r w:rsidR="00BA3808" w:rsidRPr="008A4F78">
                            <w:rPr>
                              <w:sz w:val="14"/>
                            </w:rPr>
                            <w:t>-</w:t>
                          </w:r>
                          <w:r w:rsidR="004F75E4">
                            <w:rPr>
                              <w:sz w:val="14"/>
                            </w:rPr>
                            <w:t>0</w:t>
                          </w:r>
                          <w:r w:rsidR="004D43DE">
                            <w:rPr>
                              <w:sz w:val="14"/>
                            </w:rPr>
                            <w:t>2</w:t>
                          </w:r>
                          <w:r w:rsidR="004F75E4">
                            <w:rPr>
                              <w:sz w:val="14"/>
                            </w:rPr>
                            <w:t>-</w:t>
                          </w:r>
                          <w:r w:rsidR="004D43DE">
                            <w:rPr>
                              <w:sz w:val="14"/>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B8579" id="_x0000_t202" coordsize="21600,21600" o:spt="202" path="m,l,21600r21600,l21600,xe">
              <v:stroke joinstyle="miter"/>
              <v:path gradientshapeok="t" o:connecttype="rect"/>
            </v:shapetype>
            <v:shape id="Text Box 1" o:spid="_x0000_s1026" type="#_x0000_t202" style="position:absolute;margin-left:334.5pt;margin-top:788.25pt;width:227.6pt;height:25.9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" filled="f" stroked="f">
              <v:textbox inset="0,0,0,0">
                <w:txbxContent>
                  <w:p w14:paraId="387B3BCB" w14:textId="77777777" w:rsidR="00FC302D" w:rsidRPr="008A4F78" w:rsidRDefault="00935AEE">
                    <w:pPr>
                      <w:spacing w:before="14"/>
                      <w:ind w:left="20"/>
                      <w:rPr>
                        <w:sz w:val="14"/>
                      </w:rPr>
                    </w:pPr>
                    <w:r w:rsidRPr="008A4F78">
                      <w:rPr>
                        <w:sz w:val="14"/>
                      </w:rPr>
                      <w:t>FBMH Guidance on Fees and Payments: Involvement &amp; Participation</w:t>
                    </w:r>
                  </w:p>
                  <w:p w14:paraId="6AB1A9A5" w14:textId="2B9E69C8" w:rsidR="00FC302D" w:rsidRPr="008A4F78" w:rsidRDefault="00935AEE">
                    <w:pPr>
                      <w:ind w:left="2780" w:right="1" w:firstLine="55"/>
                      <w:rPr>
                        <w:sz w:val="14"/>
                      </w:rPr>
                    </w:pPr>
                    <w:r w:rsidRPr="008A4F78">
                      <w:rPr>
                        <w:sz w:val="14"/>
                      </w:rPr>
                      <w:t>Author: Hawys</w:t>
                    </w:r>
                    <w:r w:rsidR="00BA3808" w:rsidRPr="008A4F78">
                      <w:rPr>
                        <w:sz w:val="14"/>
                      </w:rPr>
                      <w:t xml:space="preserve"> Williams Last update: 20</w:t>
                    </w:r>
                    <w:r w:rsidR="008A4F78">
                      <w:rPr>
                        <w:sz w:val="14"/>
                      </w:rPr>
                      <w:t>2</w:t>
                    </w:r>
                    <w:r w:rsidR="00C903B9">
                      <w:rPr>
                        <w:sz w:val="14"/>
                      </w:rPr>
                      <w:t>3</w:t>
                    </w:r>
                    <w:r w:rsidR="00BA3808" w:rsidRPr="008A4F78">
                      <w:rPr>
                        <w:sz w:val="14"/>
                      </w:rPr>
                      <w:t>-</w:t>
                    </w:r>
                    <w:r w:rsidR="004F75E4">
                      <w:rPr>
                        <w:sz w:val="14"/>
                      </w:rPr>
                      <w:t>0</w:t>
                    </w:r>
                    <w:r w:rsidR="004D43DE">
                      <w:rPr>
                        <w:sz w:val="14"/>
                      </w:rPr>
                      <w:t>2</w:t>
                    </w:r>
                    <w:r w:rsidR="004F75E4">
                      <w:rPr>
                        <w:sz w:val="14"/>
                      </w:rPr>
                      <w:t>-</w:t>
                    </w:r>
                    <w:r w:rsidR="004D43DE">
                      <w:rPr>
                        <w:sz w:val="14"/>
                      </w:rPr>
                      <w:t>22</w:t>
                    </w:r>
                  </w:p>
                </w:txbxContent>
              </v:textbox>
              <w10:wrap anchorx="page" anchory="page"/>
            </v:shape>
          </w:pict>
        </mc:Fallback>
      </mc:AlternateContent>
    </w:r>
    <w:r w:rsidR="007B0405">
      <w:rPr>
        <w:noProof/>
        <w:lang w:bidi="ar-SA"/>
      </w:rPr>
      <mc:AlternateContent>
        <mc:Choice Requires="wps">
          <w:drawing>
            <wp:anchor distT="0" distB="0" distL="114300" distR="114300" simplePos="0" relativeHeight="503305112" behindDoc="1" locked="0" layoutInCell="1" allowOverlap="1" wp14:anchorId="35CABBA5" wp14:editId="3D8D8734">
              <wp:simplePos x="0" y="0"/>
              <wp:positionH relativeFrom="page">
                <wp:posOffset>535305</wp:posOffset>
              </wp:positionH>
              <wp:positionV relativeFrom="page">
                <wp:posOffset>9764395</wp:posOffset>
              </wp:positionV>
              <wp:extent cx="6575425" cy="0"/>
              <wp:effectExtent l="11430" t="10795" r="13970"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5425" cy="0"/>
                      </a:xfrm>
                      <a:prstGeom prst="line">
                        <a:avLst/>
                      </a:prstGeom>
                      <a:noFill/>
                      <a:ln w="9525">
                        <a:solidFill>
                          <a:srgbClr val="6C00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30955" id="Line 3" o:spid="_x0000_s1026" style="position:absolute;z-index:-1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15pt,768.85pt" to="559.9pt,7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" strokecolor="#6c009d">
              <w10:wrap anchorx="page" anchory="page"/>
            </v:line>
          </w:pict>
        </mc:Fallback>
      </mc:AlternateContent>
    </w:r>
    <w:r w:rsidR="007B0405">
      <w:rPr>
        <w:noProof/>
        <w:lang w:bidi="ar-SA"/>
      </w:rPr>
      <mc:AlternateContent>
        <mc:Choice Requires="wps">
          <w:drawing>
            <wp:anchor distT="0" distB="0" distL="114300" distR="114300" simplePos="0" relativeHeight="503305136" behindDoc="1" locked="0" layoutInCell="1" allowOverlap="1" wp14:anchorId="79889CB2" wp14:editId="73917358">
              <wp:simplePos x="0" y="0"/>
              <wp:positionH relativeFrom="page">
                <wp:posOffset>3773170</wp:posOffset>
              </wp:positionH>
              <wp:positionV relativeFrom="page">
                <wp:posOffset>9917430</wp:posOffset>
              </wp:positionV>
              <wp:extent cx="121285" cy="167005"/>
              <wp:effectExtent l="1270" t="1905" r="127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4A3C" w14:textId="34BD0EC0" w:rsidR="00FC302D" w:rsidRDefault="00935AEE">
                          <w:pPr>
                            <w:pStyle w:val="BodyText"/>
                            <w:spacing w:before="12"/>
                            <w:ind w:left="40"/>
                          </w:pPr>
                          <w:r>
                            <w:fldChar w:fldCharType="begin"/>
                          </w:r>
                          <w:r>
                            <w:rPr>
                              <w:color w:val="A6A6A6"/>
                              <w:w w:val="99"/>
                            </w:rPr>
                            <w:instrText xml:space="preserve"> PAGE </w:instrText>
                          </w:r>
                          <w:r>
                            <w:fldChar w:fldCharType="separate"/>
                          </w:r>
                          <w:r w:rsidR="00C0757C">
                            <w:rPr>
                              <w:noProof/>
                              <w:color w:val="A6A6A6"/>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89CB2" id="Text Box 2" o:spid="_x0000_s1027" type="#_x0000_t202" style="position:absolute;margin-left:297.1pt;margin-top:780.9pt;width:9.55pt;height:13.15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" filled="f" stroked="f">
              <v:textbox inset="0,0,0,0">
                <w:txbxContent>
                  <w:p w14:paraId="16674A3C" w14:textId="34BD0EC0" w:rsidR="00FC302D" w:rsidRDefault="00935AEE">
                    <w:pPr>
                      <w:pStyle w:val="BodyText"/>
                      <w:spacing w:before="12"/>
                      <w:ind w:left="40"/>
                    </w:pPr>
                    <w:r>
                      <w:fldChar w:fldCharType="begin"/>
                    </w:r>
                    <w:r>
                      <w:rPr>
                        <w:color w:val="A6A6A6"/>
                        <w:w w:val="99"/>
                      </w:rPr>
                      <w:instrText xml:space="preserve"> PAGE </w:instrText>
                    </w:r>
                    <w:r>
                      <w:fldChar w:fldCharType="separate"/>
                    </w:r>
                    <w:r w:rsidR="00C0757C">
                      <w:rPr>
                        <w:noProof/>
                        <w:color w:val="A6A6A6"/>
                        <w:w w:val="99"/>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3E87" w14:textId="77777777" w:rsidR="00C25183" w:rsidRDefault="00C25183">
      <w:r>
        <w:separator/>
      </w:r>
    </w:p>
  </w:footnote>
  <w:footnote w:type="continuationSeparator" w:id="0">
    <w:p w14:paraId="313FAD36" w14:textId="77777777" w:rsidR="00C25183" w:rsidRDefault="00C2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BDB9" w14:textId="72865292" w:rsidR="009B6B14" w:rsidRDefault="009B6B14">
    <w:pPr>
      <w:pStyle w:val="Header"/>
    </w:pPr>
    <w:r>
      <w:rPr>
        <w:noProof/>
        <w:lang w:bidi="ar-SA"/>
      </w:rPr>
      <w:drawing>
        <wp:anchor distT="0" distB="0" distL="114300" distR="114300" simplePos="0" relativeHeight="503307208" behindDoc="0" locked="0" layoutInCell="1" allowOverlap="1" wp14:anchorId="261AA673" wp14:editId="1FCCAE28">
          <wp:simplePos x="0" y="0"/>
          <wp:positionH relativeFrom="column">
            <wp:posOffset>-704849</wp:posOffset>
          </wp:positionH>
          <wp:positionV relativeFrom="paragraph">
            <wp:posOffset>-113030</wp:posOffset>
          </wp:positionV>
          <wp:extent cx="1327150" cy="566427"/>
          <wp:effectExtent l="0" t="0" r="635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56" cy="57291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C5D"/>
    <w:multiLevelType w:val="hybridMultilevel"/>
    <w:tmpl w:val="453ED704"/>
    <w:lvl w:ilvl="0" w:tplc="4A16BE1A">
      <w:start w:val="4"/>
      <w:numFmt w:val="decimal"/>
      <w:lvlText w:val="%1."/>
      <w:lvlJc w:val="left"/>
      <w:pPr>
        <w:ind w:left="820" w:hanging="709"/>
      </w:pPr>
      <w:rPr>
        <w:rFonts w:ascii="Arial" w:eastAsia="Arial" w:hAnsi="Arial" w:cs="Arial" w:hint="default"/>
        <w:color w:val="6C009D"/>
        <w:spacing w:val="-3"/>
        <w:w w:val="99"/>
        <w:sz w:val="24"/>
        <w:szCs w:val="24"/>
        <w:lang w:val="en-GB" w:eastAsia="en-GB" w:bidi="en-GB"/>
      </w:rPr>
    </w:lvl>
    <w:lvl w:ilvl="1" w:tplc="A734054C">
      <w:numFmt w:val="bullet"/>
      <w:lvlText w:val="•"/>
      <w:lvlJc w:val="left"/>
      <w:pPr>
        <w:ind w:left="1806" w:hanging="709"/>
      </w:pPr>
      <w:rPr>
        <w:rFonts w:hint="default"/>
        <w:lang w:val="en-GB" w:eastAsia="en-GB" w:bidi="en-GB"/>
      </w:rPr>
    </w:lvl>
    <w:lvl w:ilvl="2" w:tplc="9CA619A2">
      <w:numFmt w:val="bullet"/>
      <w:lvlText w:val="•"/>
      <w:lvlJc w:val="left"/>
      <w:pPr>
        <w:ind w:left="2793" w:hanging="709"/>
      </w:pPr>
      <w:rPr>
        <w:rFonts w:hint="default"/>
        <w:lang w:val="en-GB" w:eastAsia="en-GB" w:bidi="en-GB"/>
      </w:rPr>
    </w:lvl>
    <w:lvl w:ilvl="3" w:tplc="A2563448">
      <w:numFmt w:val="bullet"/>
      <w:lvlText w:val="•"/>
      <w:lvlJc w:val="left"/>
      <w:pPr>
        <w:ind w:left="3779" w:hanging="709"/>
      </w:pPr>
      <w:rPr>
        <w:rFonts w:hint="default"/>
        <w:lang w:val="en-GB" w:eastAsia="en-GB" w:bidi="en-GB"/>
      </w:rPr>
    </w:lvl>
    <w:lvl w:ilvl="4" w:tplc="F6A60268">
      <w:numFmt w:val="bullet"/>
      <w:lvlText w:val="•"/>
      <w:lvlJc w:val="left"/>
      <w:pPr>
        <w:ind w:left="4766" w:hanging="709"/>
      </w:pPr>
      <w:rPr>
        <w:rFonts w:hint="default"/>
        <w:lang w:val="en-GB" w:eastAsia="en-GB" w:bidi="en-GB"/>
      </w:rPr>
    </w:lvl>
    <w:lvl w:ilvl="5" w:tplc="B9B294EA">
      <w:numFmt w:val="bullet"/>
      <w:lvlText w:val="•"/>
      <w:lvlJc w:val="left"/>
      <w:pPr>
        <w:ind w:left="5753" w:hanging="709"/>
      </w:pPr>
      <w:rPr>
        <w:rFonts w:hint="default"/>
        <w:lang w:val="en-GB" w:eastAsia="en-GB" w:bidi="en-GB"/>
      </w:rPr>
    </w:lvl>
    <w:lvl w:ilvl="6" w:tplc="5790A624">
      <w:numFmt w:val="bullet"/>
      <w:lvlText w:val="•"/>
      <w:lvlJc w:val="left"/>
      <w:pPr>
        <w:ind w:left="6739" w:hanging="709"/>
      </w:pPr>
      <w:rPr>
        <w:rFonts w:hint="default"/>
        <w:lang w:val="en-GB" w:eastAsia="en-GB" w:bidi="en-GB"/>
      </w:rPr>
    </w:lvl>
    <w:lvl w:ilvl="7" w:tplc="4498D2B4">
      <w:numFmt w:val="bullet"/>
      <w:lvlText w:val="•"/>
      <w:lvlJc w:val="left"/>
      <w:pPr>
        <w:ind w:left="7726" w:hanging="709"/>
      </w:pPr>
      <w:rPr>
        <w:rFonts w:hint="default"/>
        <w:lang w:val="en-GB" w:eastAsia="en-GB" w:bidi="en-GB"/>
      </w:rPr>
    </w:lvl>
    <w:lvl w:ilvl="8" w:tplc="E240606C">
      <w:numFmt w:val="bullet"/>
      <w:lvlText w:val="•"/>
      <w:lvlJc w:val="left"/>
      <w:pPr>
        <w:ind w:left="8713" w:hanging="709"/>
      </w:pPr>
      <w:rPr>
        <w:rFonts w:hint="default"/>
        <w:lang w:val="en-GB" w:eastAsia="en-GB" w:bidi="en-GB"/>
      </w:rPr>
    </w:lvl>
  </w:abstractNum>
  <w:abstractNum w:abstractNumId="1" w15:restartNumberingAfterBreak="0">
    <w:nsid w:val="17374237"/>
    <w:multiLevelType w:val="hybridMultilevel"/>
    <w:tmpl w:val="D466EB36"/>
    <w:lvl w:ilvl="0" w:tplc="17A6887A">
      <w:start w:val="1"/>
      <w:numFmt w:val="decimal"/>
      <w:lvlText w:val="%1."/>
      <w:lvlJc w:val="left"/>
      <w:pPr>
        <w:ind w:left="820" w:hanging="709"/>
      </w:pPr>
      <w:rPr>
        <w:rFonts w:ascii="Arial" w:eastAsia="Arial" w:hAnsi="Arial" w:cs="Arial" w:hint="default"/>
        <w:color w:val="6C009D"/>
        <w:spacing w:val="-3"/>
        <w:w w:val="99"/>
        <w:sz w:val="24"/>
        <w:szCs w:val="24"/>
        <w:lang w:val="en-GB" w:eastAsia="en-GB" w:bidi="en-GB"/>
      </w:rPr>
    </w:lvl>
    <w:lvl w:ilvl="1" w:tplc="3E5A8718">
      <w:start w:val="1"/>
      <w:numFmt w:val="lowerLetter"/>
      <w:lvlText w:val="%2."/>
      <w:lvlJc w:val="left"/>
      <w:pPr>
        <w:ind w:left="820" w:hanging="709"/>
      </w:pPr>
      <w:rPr>
        <w:rFonts w:ascii="Arial" w:eastAsia="Arial" w:hAnsi="Arial" w:cs="Arial" w:hint="default"/>
        <w:color w:val="6C009D"/>
        <w:w w:val="99"/>
        <w:sz w:val="24"/>
        <w:szCs w:val="24"/>
        <w:lang w:val="en-GB" w:eastAsia="en-GB" w:bidi="en-GB"/>
      </w:rPr>
    </w:lvl>
    <w:lvl w:ilvl="2" w:tplc="0BA05AC0">
      <w:start w:val="1"/>
      <w:numFmt w:val="decimal"/>
      <w:lvlText w:val="%3."/>
      <w:lvlJc w:val="left"/>
      <w:pPr>
        <w:ind w:left="1528" w:hanging="720"/>
      </w:pPr>
      <w:rPr>
        <w:rFonts w:ascii="Arial" w:eastAsia="Arial" w:hAnsi="Arial" w:cs="Arial" w:hint="default"/>
        <w:spacing w:val="-1"/>
        <w:w w:val="99"/>
        <w:sz w:val="20"/>
        <w:szCs w:val="20"/>
        <w:lang w:val="en-GB" w:eastAsia="en-GB" w:bidi="en-GB"/>
      </w:rPr>
    </w:lvl>
    <w:lvl w:ilvl="3" w:tplc="FD868460">
      <w:numFmt w:val="bullet"/>
      <w:lvlText w:val="•"/>
      <w:lvlJc w:val="left"/>
      <w:pPr>
        <w:ind w:left="3556" w:hanging="720"/>
      </w:pPr>
      <w:rPr>
        <w:rFonts w:hint="default"/>
        <w:lang w:val="en-GB" w:eastAsia="en-GB" w:bidi="en-GB"/>
      </w:rPr>
    </w:lvl>
    <w:lvl w:ilvl="4" w:tplc="FE1870F0">
      <w:numFmt w:val="bullet"/>
      <w:lvlText w:val="•"/>
      <w:lvlJc w:val="left"/>
      <w:pPr>
        <w:ind w:left="4575" w:hanging="720"/>
      </w:pPr>
      <w:rPr>
        <w:rFonts w:hint="default"/>
        <w:lang w:val="en-GB" w:eastAsia="en-GB" w:bidi="en-GB"/>
      </w:rPr>
    </w:lvl>
    <w:lvl w:ilvl="5" w:tplc="1ED6583A">
      <w:numFmt w:val="bullet"/>
      <w:lvlText w:val="•"/>
      <w:lvlJc w:val="left"/>
      <w:pPr>
        <w:ind w:left="5593" w:hanging="720"/>
      </w:pPr>
      <w:rPr>
        <w:rFonts w:hint="default"/>
        <w:lang w:val="en-GB" w:eastAsia="en-GB" w:bidi="en-GB"/>
      </w:rPr>
    </w:lvl>
    <w:lvl w:ilvl="6" w:tplc="43907DD8">
      <w:numFmt w:val="bullet"/>
      <w:lvlText w:val="•"/>
      <w:lvlJc w:val="left"/>
      <w:pPr>
        <w:ind w:left="6612" w:hanging="720"/>
      </w:pPr>
      <w:rPr>
        <w:rFonts w:hint="default"/>
        <w:lang w:val="en-GB" w:eastAsia="en-GB" w:bidi="en-GB"/>
      </w:rPr>
    </w:lvl>
    <w:lvl w:ilvl="7" w:tplc="49CED52E">
      <w:numFmt w:val="bullet"/>
      <w:lvlText w:val="•"/>
      <w:lvlJc w:val="left"/>
      <w:pPr>
        <w:ind w:left="7630" w:hanging="720"/>
      </w:pPr>
      <w:rPr>
        <w:rFonts w:hint="default"/>
        <w:lang w:val="en-GB" w:eastAsia="en-GB" w:bidi="en-GB"/>
      </w:rPr>
    </w:lvl>
    <w:lvl w:ilvl="8" w:tplc="DD12844C">
      <w:numFmt w:val="bullet"/>
      <w:lvlText w:val="•"/>
      <w:lvlJc w:val="left"/>
      <w:pPr>
        <w:ind w:left="8649" w:hanging="720"/>
      </w:pPr>
      <w:rPr>
        <w:rFonts w:hint="default"/>
        <w:lang w:val="en-GB" w:eastAsia="en-GB" w:bidi="en-GB"/>
      </w:rPr>
    </w:lvl>
  </w:abstractNum>
  <w:abstractNum w:abstractNumId="2" w15:restartNumberingAfterBreak="0">
    <w:nsid w:val="2CE33C4F"/>
    <w:multiLevelType w:val="multilevel"/>
    <w:tmpl w:val="F8D45DCE"/>
    <w:lvl w:ilvl="0">
      <w:start w:val="2"/>
      <w:numFmt w:val="upperLetter"/>
      <w:lvlText w:val="%1"/>
      <w:lvlJc w:val="left"/>
      <w:pPr>
        <w:ind w:left="532" w:hanging="420"/>
      </w:pPr>
      <w:rPr>
        <w:rFonts w:hint="default"/>
        <w:lang w:val="en-GB" w:eastAsia="en-GB" w:bidi="en-GB"/>
      </w:rPr>
    </w:lvl>
    <w:lvl w:ilvl="1">
      <w:start w:val="2"/>
      <w:numFmt w:val="decimal"/>
      <w:lvlText w:val="%1.%2."/>
      <w:lvlJc w:val="left"/>
      <w:pPr>
        <w:ind w:left="532" w:hanging="420"/>
      </w:pPr>
      <w:rPr>
        <w:rFonts w:ascii="Arial" w:eastAsia="Arial" w:hAnsi="Arial" w:cs="Arial" w:hint="default"/>
        <w:b/>
        <w:bCs/>
        <w:color w:val="6F2F9F"/>
        <w:spacing w:val="-1"/>
        <w:w w:val="99"/>
        <w:sz w:val="20"/>
        <w:szCs w:val="20"/>
        <w:lang w:val="en-GB" w:eastAsia="en-GB" w:bidi="en-GB"/>
      </w:rPr>
    </w:lvl>
    <w:lvl w:ilvl="2">
      <w:numFmt w:val="bullet"/>
      <w:lvlText w:val=""/>
      <w:lvlJc w:val="left"/>
      <w:pPr>
        <w:ind w:left="832" w:hanging="361"/>
      </w:pPr>
      <w:rPr>
        <w:rFonts w:ascii="Wingdings" w:eastAsia="Wingdings" w:hAnsi="Wingdings" w:cs="Wingdings" w:hint="default"/>
        <w:color w:val="6F2F9F"/>
        <w:w w:val="99"/>
        <w:sz w:val="20"/>
        <w:szCs w:val="20"/>
        <w:lang w:val="en-GB" w:eastAsia="en-GB" w:bidi="en-GB"/>
      </w:rPr>
    </w:lvl>
    <w:lvl w:ilvl="3">
      <w:numFmt w:val="bullet"/>
      <w:lvlText w:val="•"/>
      <w:lvlJc w:val="left"/>
      <w:pPr>
        <w:ind w:left="3028" w:hanging="361"/>
      </w:pPr>
      <w:rPr>
        <w:rFonts w:hint="default"/>
        <w:lang w:val="en-GB" w:eastAsia="en-GB" w:bidi="en-GB"/>
      </w:rPr>
    </w:lvl>
    <w:lvl w:ilvl="4">
      <w:numFmt w:val="bullet"/>
      <w:lvlText w:val="•"/>
      <w:lvlJc w:val="left"/>
      <w:pPr>
        <w:ind w:left="4122" w:hanging="361"/>
      </w:pPr>
      <w:rPr>
        <w:rFonts w:hint="default"/>
        <w:lang w:val="en-GB" w:eastAsia="en-GB" w:bidi="en-GB"/>
      </w:rPr>
    </w:lvl>
    <w:lvl w:ilvl="5">
      <w:numFmt w:val="bullet"/>
      <w:lvlText w:val="•"/>
      <w:lvlJc w:val="left"/>
      <w:pPr>
        <w:ind w:left="5216" w:hanging="361"/>
      </w:pPr>
      <w:rPr>
        <w:rFonts w:hint="default"/>
        <w:lang w:val="en-GB" w:eastAsia="en-GB" w:bidi="en-GB"/>
      </w:rPr>
    </w:lvl>
    <w:lvl w:ilvl="6">
      <w:numFmt w:val="bullet"/>
      <w:lvlText w:val="•"/>
      <w:lvlJc w:val="left"/>
      <w:pPr>
        <w:ind w:left="6310" w:hanging="361"/>
      </w:pPr>
      <w:rPr>
        <w:rFonts w:hint="default"/>
        <w:lang w:val="en-GB" w:eastAsia="en-GB" w:bidi="en-GB"/>
      </w:rPr>
    </w:lvl>
    <w:lvl w:ilvl="7">
      <w:numFmt w:val="bullet"/>
      <w:lvlText w:val="•"/>
      <w:lvlJc w:val="left"/>
      <w:pPr>
        <w:ind w:left="7404" w:hanging="361"/>
      </w:pPr>
      <w:rPr>
        <w:rFonts w:hint="default"/>
        <w:lang w:val="en-GB" w:eastAsia="en-GB" w:bidi="en-GB"/>
      </w:rPr>
    </w:lvl>
    <w:lvl w:ilvl="8">
      <w:numFmt w:val="bullet"/>
      <w:lvlText w:val="•"/>
      <w:lvlJc w:val="left"/>
      <w:pPr>
        <w:ind w:left="8498" w:hanging="361"/>
      </w:pPr>
      <w:rPr>
        <w:rFonts w:hint="default"/>
        <w:lang w:val="en-GB" w:eastAsia="en-GB" w:bidi="en-GB"/>
      </w:rPr>
    </w:lvl>
  </w:abstractNum>
  <w:abstractNum w:abstractNumId="3" w15:restartNumberingAfterBreak="0">
    <w:nsid w:val="4E833E69"/>
    <w:multiLevelType w:val="hybridMultilevel"/>
    <w:tmpl w:val="F97496B0"/>
    <w:lvl w:ilvl="0" w:tplc="50648AE4">
      <w:start w:val="1"/>
      <w:numFmt w:val="upperLetter"/>
      <w:lvlText w:val="%1)"/>
      <w:lvlJc w:val="left"/>
      <w:pPr>
        <w:ind w:left="820" w:hanging="709"/>
      </w:pPr>
      <w:rPr>
        <w:rFonts w:ascii="Arial" w:eastAsia="Arial" w:hAnsi="Arial" w:cs="Arial" w:hint="default"/>
        <w:spacing w:val="-1"/>
        <w:w w:val="99"/>
        <w:sz w:val="20"/>
        <w:szCs w:val="20"/>
        <w:lang w:val="en-GB" w:eastAsia="en-GB" w:bidi="en-GB"/>
      </w:rPr>
    </w:lvl>
    <w:lvl w:ilvl="1" w:tplc="C96CCDB6">
      <w:numFmt w:val="bullet"/>
      <w:lvlText w:val="•"/>
      <w:lvlJc w:val="left"/>
      <w:pPr>
        <w:ind w:left="1806" w:hanging="709"/>
      </w:pPr>
      <w:rPr>
        <w:rFonts w:hint="default"/>
        <w:lang w:val="en-GB" w:eastAsia="en-GB" w:bidi="en-GB"/>
      </w:rPr>
    </w:lvl>
    <w:lvl w:ilvl="2" w:tplc="794A7080">
      <w:numFmt w:val="bullet"/>
      <w:lvlText w:val="•"/>
      <w:lvlJc w:val="left"/>
      <w:pPr>
        <w:ind w:left="2793" w:hanging="709"/>
      </w:pPr>
      <w:rPr>
        <w:rFonts w:hint="default"/>
        <w:lang w:val="en-GB" w:eastAsia="en-GB" w:bidi="en-GB"/>
      </w:rPr>
    </w:lvl>
    <w:lvl w:ilvl="3" w:tplc="7D5CB976">
      <w:numFmt w:val="bullet"/>
      <w:lvlText w:val="•"/>
      <w:lvlJc w:val="left"/>
      <w:pPr>
        <w:ind w:left="3779" w:hanging="709"/>
      </w:pPr>
      <w:rPr>
        <w:rFonts w:hint="default"/>
        <w:lang w:val="en-GB" w:eastAsia="en-GB" w:bidi="en-GB"/>
      </w:rPr>
    </w:lvl>
    <w:lvl w:ilvl="4" w:tplc="86F858F0">
      <w:numFmt w:val="bullet"/>
      <w:lvlText w:val="•"/>
      <w:lvlJc w:val="left"/>
      <w:pPr>
        <w:ind w:left="4766" w:hanging="709"/>
      </w:pPr>
      <w:rPr>
        <w:rFonts w:hint="default"/>
        <w:lang w:val="en-GB" w:eastAsia="en-GB" w:bidi="en-GB"/>
      </w:rPr>
    </w:lvl>
    <w:lvl w:ilvl="5" w:tplc="7946F558">
      <w:numFmt w:val="bullet"/>
      <w:lvlText w:val="•"/>
      <w:lvlJc w:val="left"/>
      <w:pPr>
        <w:ind w:left="5753" w:hanging="709"/>
      </w:pPr>
      <w:rPr>
        <w:rFonts w:hint="default"/>
        <w:lang w:val="en-GB" w:eastAsia="en-GB" w:bidi="en-GB"/>
      </w:rPr>
    </w:lvl>
    <w:lvl w:ilvl="6" w:tplc="D52A6A8C">
      <w:numFmt w:val="bullet"/>
      <w:lvlText w:val="•"/>
      <w:lvlJc w:val="left"/>
      <w:pPr>
        <w:ind w:left="6739" w:hanging="709"/>
      </w:pPr>
      <w:rPr>
        <w:rFonts w:hint="default"/>
        <w:lang w:val="en-GB" w:eastAsia="en-GB" w:bidi="en-GB"/>
      </w:rPr>
    </w:lvl>
    <w:lvl w:ilvl="7" w:tplc="DEF4D238">
      <w:numFmt w:val="bullet"/>
      <w:lvlText w:val="•"/>
      <w:lvlJc w:val="left"/>
      <w:pPr>
        <w:ind w:left="7726" w:hanging="709"/>
      </w:pPr>
      <w:rPr>
        <w:rFonts w:hint="default"/>
        <w:lang w:val="en-GB" w:eastAsia="en-GB" w:bidi="en-GB"/>
      </w:rPr>
    </w:lvl>
    <w:lvl w:ilvl="8" w:tplc="3AC877D2">
      <w:numFmt w:val="bullet"/>
      <w:lvlText w:val="•"/>
      <w:lvlJc w:val="left"/>
      <w:pPr>
        <w:ind w:left="8713" w:hanging="709"/>
      </w:pPr>
      <w:rPr>
        <w:rFonts w:hint="default"/>
        <w:lang w:val="en-GB" w:eastAsia="en-GB" w:bidi="en-GB"/>
      </w:rPr>
    </w:lvl>
  </w:abstractNum>
  <w:abstractNum w:abstractNumId="4" w15:restartNumberingAfterBreak="0">
    <w:nsid w:val="6750444A"/>
    <w:multiLevelType w:val="multilevel"/>
    <w:tmpl w:val="3466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952F1"/>
    <w:multiLevelType w:val="multilevel"/>
    <w:tmpl w:val="076CFCF6"/>
    <w:lvl w:ilvl="0">
      <w:start w:val="2"/>
      <w:numFmt w:val="upperLetter"/>
      <w:lvlText w:val="%1"/>
      <w:lvlJc w:val="left"/>
      <w:pPr>
        <w:ind w:left="534" w:hanging="423"/>
      </w:pPr>
      <w:rPr>
        <w:rFonts w:hint="default"/>
        <w:lang w:val="en-GB" w:eastAsia="en-GB" w:bidi="en-GB"/>
      </w:rPr>
    </w:lvl>
    <w:lvl w:ilvl="1">
      <w:start w:val="1"/>
      <w:numFmt w:val="decimal"/>
      <w:lvlText w:val="%1.%2."/>
      <w:lvlJc w:val="left"/>
      <w:pPr>
        <w:ind w:left="534" w:hanging="423"/>
      </w:pPr>
      <w:rPr>
        <w:rFonts w:ascii="Arial" w:eastAsia="Arial" w:hAnsi="Arial" w:cs="Arial" w:hint="default"/>
        <w:b/>
        <w:bCs/>
        <w:color w:val="6F2F9F"/>
        <w:w w:val="99"/>
        <w:sz w:val="20"/>
        <w:szCs w:val="20"/>
        <w:lang w:val="en-GB" w:eastAsia="en-GB" w:bidi="en-GB"/>
      </w:rPr>
    </w:lvl>
    <w:lvl w:ilvl="2">
      <w:numFmt w:val="bullet"/>
      <w:lvlText w:val=""/>
      <w:lvlJc w:val="left"/>
      <w:pPr>
        <w:ind w:left="820" w:hanging="361"/>
      </w:pPr>
      <w:rPr>
        <w:rFonts w:ascii="Wingdings" w:eastAsia="Wingdings" w:hAnsi="Wingdings" w:cs="Wingdings" w:hint="default"/>
        <w:color w:val="6F2F9F"/>
        <w:w w:val="99"/>
        <w:sz w:val="20"/>
        <w:szCs w:val="20"/>
        <w:lang w:val="en-GB" w:eastAsia="en-GB" w:bidi="en-GB"/>
      </w:rPr>
    </w:lvl>
    <w:lvl w:ilvl="3">
      <w:numFmt w:val="bullet"/>
      <w:lvlText w:val="•"/>
      <w:lvlJc w:val="left"/>
      <w:pPr>
        <w:ind w:left="2070" w:hanging="361"/>
      </w:pPr>
      <w:rPr>
        <w:rFonts w:hint="default"/>
        <w:lang w:val="en-GB" w:eastAsia="en-GB" w:bidi="en-GB"/>
      </w:rPr>
    </w:lvl>
    <w:lvl w:ilvl="4">
      <w:numFmt w:val="bullet"/>
      <w:lvlText w:val="•"/>
      <w:lvlJc w:val="left"/>
      <w:pPr>
        <w:ind w:left="3301" w:hanging="361"/>
      </w:pPr>
      <w:rPr>
        <w:rFonts w:hint="default"/>
        <w:lang w:val="en-GB" w:eastAsia="en-GB" w:bidi="en-GB"/>
      </w:rPr>
    </w:lvl>
    <w:lvl w:ilvl="5">
      <w:numFmt w:val="bullet"/>
      <w:lvlText w:val="•"/>
      <w:lvlJc w:val="left"/>
      <w:pPr>
        <w:ind w:left="4532" w:hanging="361"/>
      </w:pPr>
      <w:rPr>
        <w:rFonts w:hint="default"/>
        <w:lang w:val="en-GB" w:eastAsia="en-GB" w:bidi="en-GB"/>
      </w:rPr>
    </w:lvl>
    <w:lvl w:ilvl="6">
      <w:numFmt w:val="bullet"/>
      <w:lvlText w:val="•"/>
      <w:lvlJc w:val="left"/>
      <w:pPr>
        <w:ind w:left="5763" w:hanging="361"/>
      </w:pPr>
      <w:rPr>
        <w:rFonts w:hint="default"/>
        <w:lang w:val="en-GB" w:eastAsia="en-GB" w:bidi="en-GB"/>
      </w:rPr>
    </w:lvl>
    <w:lvl w:ilvl="7">
      <w:numFmt w:val="bullet"/>
      <w:lvlText w:val="•"/>
      <w:lvlJc w:val="left"/>
      <w:pPr>
        <w:ind w:left="6994" w:hanging="361"/>
      </w:pPr>
      <w:rPr>
        <w:rFonts w:hint="default"/>
        <w:lang w:val="en-GB" w:eastAsia="en-GB" w:bidi="en-GB"/>
      </w:rPr>
    </w:lvl>
    <w:lvl w:ilvl="8">
      <w:numFmt w:val="bullet"/>
      <w:lvlText w:val="•"/>
      <w:lvlJc w:val="left"/>
      <w:pPr>
        <w:ind w:left="8224" w:hanging="361"/>
      </w:pPr>
      <w:rPr>
        <w:rFonts w:hint="default"/>
        <w:lang w:val="en-GB" w:eastAsia="en-GB" w:bidi="en-GB"/>
      </w:rPr>
    </w:lvl>
  </w:abstractNum>
  <w:abstractNum w:abstractNumId="6" w15:restartNumberingAfterBreak="0">
    <w:nsid w:val="73DD2CB0"/>
    <w:multiLevelType w:val="hybridMultilevel"/>
    <w:tmpl w:val="19BA4B84"/>
    <w:lvl w:ilvl="0" w:tplc="6744F4A0">
      <w:start w:val="1"/>
      <w:numFmt w:val="upperLetter"/>
      <w:lvlText w:val="%1."/>
      <w:lvlJc w:val="left"/>
      <w:pPr>
        <w:ind w:left="472" w:hanging="360"/>
      </w:pPr>
      <w:rPr>
        <w:rFonts w:ascii="Arial" w:eastAsia="Arial" w:hAnsi="Arial" w:cs="Arial" w:hint="default"/>
        <w:b/>
        <w:bCs/>
        <w:color w:val="6F2F9F"/>
        <w:spacing w:val="-5"/>
        <w:w w:val="99"/>
        <w:sz w:val="20"/>
        <w:szCs w:val="20"/>
        <w:lang w:val="en-GB" w:eastAsia="en-GB" w:bidi="en-GB"/>
      </w:rPr>
    </w:lvl>
    <w:lvl w:ilvl="1" w:tplc="362ECDC4">
      <w:numFmt w:val="bullet"/>
      <w:lvlText w:val=""/>
      <w:lvlJc w:val="left"/>
      <w:pPr>
        <w:ind w:left="832" w:hanging="296"/>
      </w:pPr>
      <w:rPr>
        <w:rFonts w:ascii="Wingdings" w:eastAsia="Wingdings" w:hAnsi="Wingdings" w:cs="Wingdings" w:hint="default"/>
        <w:color w:val="6F2F9F"/>
        <w:w w:val="99"/>
        <w:sz w:val="20"/>
        <w:szCs w:val="20"/>
        <w:lang w:val="en-GB" w:eastAsia="en-GB" w:bidi="en-GB"/>
      </w:rPr>
    </w:lvl>
    <w:lvl w:ilvl="2" w:tplc="76D2F730">
      <w:numFmt w:val="bullet"/>
      <w:lvlText w:val="•"/>
      <w:lvlJc w:val="left"/>
      <w:pPr>
        <w:ind w:left="1934" w:hanging="296"/>
      </w:pPr>
      <w:rPr>
        <w:rFonts w:hint="default"/>
        <w:lang w:val="en-GB" w:eastAsia="en-GB" w:bidi="en-GB"/>
      </w:rPr>
    </w:lvl>
    <w:lvl w:ilvl="3" w:tplc="A67C7C02">
      <w:numFmt w:val="bullet"/>
      <w:lvlText w:val="•"/>
      <w:lvlJc w:val="left"/>
      <w:pPr>
        <w:ind w:left="3028" w:hanging="296"/>
      </w:pPr>
      <w:rPr>
        <w:rFonts w:hint="default"/>
        <w:lang w:val="en-GB" w:eastAsia="en-GB" w:bidi="en-GB"/>
      </w:rPr>
    </w:lvl>
    <w:lvl w:ilvl="4" w:tplc="C2EA3012">
      <w:numFmt w:val="bullet"/>
      <w:lvlText w:val="•"/>
      <w:lvlJc w:val="left"/>
      <w:pPr>
        <w:ind w:left="4122" w:hanging="296"/>
      </w:pPr>
      <w:rPr>
        <w:rFonts w:hint="default"/>
        <w:lang w:val="en-GB" w:eastAsia="en-GB" w:bidi="en-GB"/>
      </w:rPr>
    </w:lvl>
    <w:lvl w:ilvl="5" w:tplc="6E30C28A">
      <w:numFmt w:val="bullet"/>
      <w:lvlText w:val="•"/>
      <w:lvlJc w:val="left"/>
      <w:pPr>
        <w:ind w:left="5216" w:hanging="296"/>
      </w:pPr>
      <w:rPr>
        <w:rFonts w:hint="default"/>
        <w:lang w:val="en-GB" w:eastAsia="en-GB" w:bidi="en-GB"/>
      </w:rPr>
    </w:lvl>
    <w:lvl w:ilvl="6" w:tplc="B80AE7E2">
      <w:numFmt w:val="bullet"/>
      <w:lvlText w:val="•"/>
      <w:lvlJc w:val="left"/>
      <w:pPr>
        <w:ind w:left="6310" w:hanging="296"/>
      </w:pPr>
      <w:rPr>
        <w:rFonts w:hint="default"/>
        <w:lang w:val="en-GB" w:eastAsia="en-GB" w:bidi="en-GB"/>
      </w:rPr>
    </w:lvl>
    <w:lvl w:ilvl="7" w:tplc="56F2D518">
      <w:numFmt w:val="bullet"/>
      <w:lvlText w:val="•"/>
      <w:lvlJc w:val="left"/>
      <w:pPr>
        <w:ind w:left="7404" w:hanging="296"/>
      </w:pPr>
      <w:rPr>
        <w:rFonts w:hint="default"/>
        <w:lang w:val="en-GB" w:eastAsia="en-GB" w:bidi="en-GB"/>
      </w:rPr>
    </w:lvl>
    <w:lvl w:ilvl="8" w:tplc="7730D0C8">
      <w:numFmt w:val="bullet"/>
      <w:lvlText w:val="•"/>
      <w:lvlJc w:val="left"/>
      <w:pPr>
        <w:ind w:left="8498" w:hanging="296"/>
      </w:pPr>
      <w:rPr>
        <w:rFonts w:hint="default"/>
        <w:lang w:val="en-GB" w:eastAsia="en-GB" w:bidi="en-GB"/>
      </w:rPr>
    </w:lvl>
  </w:abstractNum>
  <w:abstractNum w:abstractNumId="7" w15:restartNumberingAfterBreak="0">
    <w:nsid w:val="76FC767B"/>
    <w:multiLevelType w:val="multilevel"/>
    <w:tmpl w:val="2912EEEE"/>
    <w:lvl w:ilvl="0">
      <w:start w:val="1"/>
      <w:numFmt w:val="upperLetter"/>
      <w:lvlText w:val="%1"/>
      <w:lvlJc w:val="left"/>
      <w:pPr>
        <w:ind w:left="522" w:hanging="411"/>
      </w:pPr>
      <w:rPr>
        <w:rFonts w:hint="default"/>
        <w:lang w:val="en-GB" w:eastAsia="en-GB" w:bidi="en-GB"/>
      </w:rPr>
    </w:lvl>
    <w:lvl w:ilvl="1">
      <w:start w:val="2"/>
      <w:numFmt w:val="decimal"/>
      <w:lvlText w:val="%1.%2."/>
      <w:lvlJc w:val="left"/>
      <w:pPr>
        <w:ind w:left="522" w:hanging="411"/>
      </w:pPr>
      <w:rPr>
        <w:rFonts w:ascii="Arial" w:eastAsia="Arial" w:hAnsi="Arial" w:cs="Arial" w:hint="default"/>
        <w:spacing w:val="-1"/>
        <w:w w:val="99"/>
        <w:sz w:val="20"/>
        <w:szCs w:val="20"/>
        <w:lang w:val="en-GB" w:eastAsia="en-GB" w:bidi="en-GB"/>
      </w:rPr>
    </w:lvl>
    <w:lvl w:ilvl="2">
      <w:numFmt w:val="bullet"/>
      <w:lvlText w:val=""/>
      <w:lvlJc w:val="left"/>
      <w:pPr>
        <w:ind w:left="820" w:hanging="284"/>
      </w:pPr>
      <w:rPr>
        <w:rFonts w:ascii="Wingdings" w:eastAsia="Wingdings" w:hAnsi="Wingdings" w:cs="Wingdings" w:hint="default"/>
        <w:color w:val="6F2F9F"/>
        <w:w w:val="99"/>
        <w:sz w:val="20"/>
        <w:szCs w:val="20"/>
        <w:lang w:val="en-GB" w:eastAsia="en-GB" w:bidi="en-GB"/>
      </w:rPr>
    </w:lvl>
    <w:lvl w:ilvl="3">
      <w:numFmt w:val="bullet"/>
      <w:lvlText w:val="•"/>
      <w:lvlJc w:val="left"/>
      <w:pPr>
        <w:ind w:left="3012" w:hanging="284"/>
      </w:pPr>
      <w:rPr>
        <w:rFonts w:hint="default"/>
        <w:lang w:val="en-GB" w:eastAsia="en-GB" w:bidi="en-GB"/>
      </w:rPr>
    </w:lvl>
    <w:lvl w:ilvl="4">
      <w:numFmt w:val="bullet"/>
      <w:lvlText w:val="•"/>
      <w:lvlJc w:val="left"/>
      <w:pPr>
        <w:ind w:left="4108" w:hanging="284"/>
      </w:pPr>
      <w:rPr>
        <w:rFonts w:hint="default"/>
        <w:lang w:val="en-GB" w:eastAsia="en-GB" w:bidi="en-GB"/>
      </w:rPr>
    </w:lvl>
    <w:lvl w:ilvl="5">
      <w:numFmt w:val="bullet"/>
      <w:lvlText w:val="•"/>
      <w:lvlJc w:val="left"/>
      <w:pPr>
        <w:ind w:left="5205" w:hanging="284"/>
      </w:pPr>
      <w:rPr>
        <w:rFonts w:hint="default"/>
        <w:lang w:val="en-GB" w:eastAsia="en-GB" w:bidi="en-GB"/>
      </w:rPr>
    </w:lvl>
    <w:lvl w:ilvl="6">
      <w:numFmt w:val="bullet"/>
      <w:lvlText w:val="•"/>
      <w:lvlJc w:val="left"/>
      <w:pPr>
        <w:ind w:left="6301" w:hanging="284"/>
      </w:pPr>
      <w:rPr>
        <w:rFonts w:hint="default"/>
        <w:lang w:val="en-GB" w:eastAsia="en-GB" w:bidi="en-GB"/>
      </w:rPr>
    </w:lvl>
    <w:lvl w:ilvl="7">
      <w:numFmt w:val="bullet"/>
      <w:lvlText w:val="•"/>
      <w:lvlJc w:val="left"/>
      <w:pPr>
        <w:ind w:left="7397" w:hanging="284"/>
      </w:pPr>
      <w:rPr>
        <w:rFonts w:hint="default"/>
        <w:lang w:val="en-GB" w:eastAsia="en-GB" w:bidi="en-GB"/>
      </w:rPr>
    </w:lvl>
    <w:lvl w:ilvl="8">
      <w:numFmt w:val="bullet"/>
      <w:lvlText w:val="•"/>
      <w:lvlJc w:val="left"/>
      <w:pPr>
        <w:ind w:left="8493" w:hanging="284"/>
      </w:pPr>
      <w:rPr>
        <w:rFonts w:hint="default"/>
        <w:lang w:val="en-GB" w:eastAsia="en-GB" w:bidi="en-GB"/>
      </w:rPr>
    </w:lvl>
  </w:abstractNum>
  <w:abstractNum w:abstractNumId="8" w15:restartNumberingAfterBreak="0">
    <w:nsid w:val="777A4B73"/>
    <w:multiLevelType w:val="hybridMultilevel"/>
    <w:tmpl w:val="03EAABAC"/>
    <w:lvl w:ilvl="0" w:tplc="19D0842C">
      <w:start w:val="1"/>
      <w:numFmt w:val="decimal"/>
      <w:lvlText w:val="%1"/>
      <w:lvlJc w:val="left"/>
      <w:pPr>
        <w:ind w:left="472" w:hanging="360"/>
      </w:pPr>
      <w:rPr>
        <w:rFonts w:hint="default"/>
        <w:sz w:val="10"/>
        <w:u w:val="none"/>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num w:numId="1" w16cid:durableId="1967731919">
    <w:abstractNumId w:val="2"/>
  </w:num>
  <w:num w:numId="2" w16cid:durableId="374627482">
    <w:abstractNumId w:val="5"/>
  </w:num>
  <w:num w:numId="3" w16cid:durableId="1759250503">
    <w:abstractNumId w:val="7"/>
  </w:num>
  <w:num w:numId="4" w16cid:durableId="1367829609">
    <w:abstractNumId w:val="6"/>
  </w:num>
  <w:num w:numId="5" w16cid:durableId="31539120">
    <w:abstractNumId w:val="0"/>
  </w:num>
  <w:num w:numId="6" w16cid:durableId="808942396">
    <w:abstractNumId w:val="3"/>
  </w:num>
  <w:num w:numId="7" w16cid:durableId="1560900039">
    <w:abstractNumId w:val="1"/>
  </w:num>
  <w:num w:numId="8" w16cid:durableId="2080208435">
    <w:abstractNumId w:val="8"/>
  </w:num>
  <w:num w:numId="9" w16cid:durableId="655036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2D"/>
    <w:rsid w:val="00007360"/>
    <w:rsid w:val="000074A9"/>
    <w:rsid w:val="000354C3"/>
    <w:rsid w:val="0007434F"/>
    <w:rsid w:val="000755D7"/>
    <w:rsid w:val="00091CF8"/>
    <w:rsid w:val="000927A5"/>
    <w:rsid w:val="0010649D"/>
    <w:rsid w:val="00185DBC"/>
    <w:rsid w:val="001B4905"/>
    <w:rsid w:val="002361D9"/>
    <w:rsid w:val="00273558"/>
    <w:rsid w:val="00312E91"/>
    <w:rsid w:val="00312F1E"/>
    <w:rsid w:val="003538E5"/>
    <w:rsid w:val="00392298"/>
    <w:rsid w:val="003A3883"/>
    <w:rsid w:val="00400C6E"/>
    <w:rsid w:val="0047159A"/>
    <w:rsid w:val="00471C4A"/>
    <w:rsid w:val="00490FD0"/>
    <w:rsid w:val="004D43DE"/>
    <w:rsid w:val="004F046A"/>
    <w:rsid w:val="004F75E4"/>
    <w:rsid w:val="00510998"/>
    <w:rsid w:val="005705BA"/>
    <w:rsid w:val="005D3F0F"/>
    <w:rsid w:val="005F5102"/>
    <w:rsid w:val="00617164"/>
    <w:rsid w:val="0062127F"/>
    <w:rsid w:val="006A0C4D"/>
    <w:rsid w:val="006A7AE1"/>
    <w:rsid w:val="006B502E"/>
    <w:rsid w:val="006F6427"/>
    <w:rsid w:val="00717E42"/>
    <w:rsid w:val="00754C6E"/>
    <w:rsid w:val="0076554C"/>
    <w:rsid w:val="007924FD"/>
    <w:rsid w:val="007B0405"/>
    <w:rsid w:val="007B1070"/>
    <w:rsid w:val="007C3567"/>
    <w:rsid w:val="007C7238"/>
    <w:rsid w:val="007E3B85"/>
    <w:rsid w:val="0083068B"/>
    <w:rsid w:val="00881491"/>
    <w:rsid w:val="00896BF7"/>
    <w:rsid w:val="008A4F78"/>
    <w:rsid w:val="00920BC1"/>
    <w:rsid w:val="00935AEE"/>
    <w:rsid w:val="00983400"/>
    <w:rsid w:val="009B6B14"/>
    <w:rsid w:val="009D5C71"/>
    <w:rsid w:val="009F7B34"/>
    <w:rsid w:val="00A06729"/>
    <w:rsid w:val="00AA1465"/>
    <w:rsid w:val="00AE4300"/>
    <w:rsid w:val="00BA3808"/>
    <w:rsid w:val="00C0757C"/>
    <w:rsid w:val="00C25183"/>
    <w:rsid w:val="00C903B9"/>
    <w:rsid w:val="00C93113"/>
    <w:rsid w:val="00D01CA9"/>
    <w:rsid w:val="00D01E42"/>
    <w:rsid w:val="00D02651"/>
    <w:rsid w:val="00D06CCA"/>
    <w:rsid w:val="00D36C0F"/>
    <w:rsid w:val="00D52EAF"/>
    <w:rsid w:val="00D67CD4"/>
    <w:rsid w:val="00DC19F0"/>
    <w:rsid w:val="00E11972"/>
    <w:rsid w:val="00EF489D"/>
    <w:rsid w:val="00F963FF"/>
    <w:rsid w:val="00FC1859"/>
    <w:rsid w:val="00FC3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1164349"/>
  <w15:docId w15:val="{D8A67F68-1ABA-40E4-A7EC-A265A985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820" w:hanging="708"/>
      <w:outlineLvl w:val="0"/>
    </w:pPr>
    <w:rPr>
      <w:sz w:val="24"/>
      <w:szCs w:val="24"/>
    </w:rPr>
  </w:style>
  <w:style w:type="paragraph" w:styleId="Heading2">
    <w:name w:val="heading 2"/>
    <w:basedOn w:val="Normal"/>
    <w:uiPriority w:val="1"/>
    <w:qFormat/>
    <w:pPr>
      <w:spacing w:before="93"/>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7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3808"/>
    <w:pPr>
      <w:tabs>
        <w:tab w:val="center" w:pos="4513"/>
        <w:tab w:val="right" w:pos="9026"/>
      </w:tabs>
    </w:pPr>
  </w:style>
  <w:style w:type="character" w:customStyle="1" w:styleId="HeaderChar">
    <w:name w:val="Header Char"/>
    <w:basedOn w:val="DefaultParagraphFont"/>
    <w:link w:val="Header"/>
    <w:uiPriority w:val="99"/>
    <w:rsid w:val="00BA3808"/>
    <w:rPr>
      <w:rFonts w:ascii="Arial" w:eastAsia="Arial" w:hAnsi="Arial" w:cs="Arial"/>
      <w:lang w:val="en-GB" w:eastAsia="en-GB" w:bidi="en-GB"/>
    </w:rPr>
  </w:style>
  <w:style w:type="paragraph" w:styleId="Footer">
    <w:name w:val="footer"/>
    <w:basedOn w:val="Normal"/>
    <w:link w:val="FooterChar"/>
    <w:uiPriority w:val="99"/>
    <w:unhideWhenUsed/>
    <w:rsid w:val="00BA3808"/>
    <w:pPr>
      <w:tabs>
        <w:tab w:val="center" w:pos="4513"/>
        <w:tab w:val="right" w:pos="9026"/>
      </w:tabs>
    </w:pPr>
  </w:style>
  <w:style w:type="character" w:customStyle="1" w:styleId="FooterChar">
    <w:name w:val="Footer Char"/>
    <w:basedOn w:val="DefaultParagraphFont"/>
    <w:link w:val="Footer"/>
    <w:uiPriority w:val="99"/>
    <w:rsid w:val="00BA3808"/>
    <w:rPr>
      <w:rFonts w:ascii="Arial" w:eastAsia="Arial" w:hAnsi="Arial" w:cs="Arial"/>
      <w:lang w:val="en-GB" w:eastAsia="en-GB" w:bidi="en-GB"/>
    </w:rPr>
  </w:style>
  <w:style w:type="character" w:styleId="Hyperlink">
    <w:name w:val="Hyperlink"/>
    <w:basedOn w:val="DefaultParagraphFont"/>
    <w:uiPriority w:val="99"/>
    <w:unhideWhenUsed/>
    <w:rsid w:val="00BA3808"/>
    <w:rPr>
      <w:color w:val="0000FF" w:themeColor="hyperlink"/>
      <w:u w:val="single"/>
    </w:rPr>
  </w:style>
  <w:style w:type="character" w:styleId="FollowedHyperlink">
    <w:name w:val="FollowedHyperlink"/>
    <w:basedOn w:val="DefaultParagraphFont"/>
    <w:uiPriority w:val="99"/>
    <w:semiHidden/>
    <w:unhideWhenUsed/>
    <w:rsid w:val="00983400"/>
    <w:rPr>
      <w:color w:val="800080" w:themeColor="followedHyperlink"/>
      <w:u w:val="single"/>
    </w:rPr>
  </w:style>
  <w:style w:type="character" w:styleId="CommentReference">
    <w:name w:val="annotation reference"/>
    <w:basedOn w:val="DefaultParagraphFont"/>
    <w:uiPriority w:val="99"/>
    <w:semiHidden/>
    <w:unhideWhenUsed/>
    <w:rsid w:val="00717E42"/>
    <w:rPr>
      <w:sz w:val="16"/>
      <w:szCs w:val="16"/>
    </w:rPr>
  </w:style>
  <w:style w:type="paragraph" w:styleId="CommentText">
    <w:name w:val="annotation text"/>
    <w:basedOn w:val="Normal"/>
    <w:link w:val="CommentTextChar"/>
    <w:uiPriority w:val="99"/>
    <w:semiHidden/>
    <w:unhideWhenUsed/>
    <w:rsid w:val="00717E42"/>
    <w:rPr>
      <w:sz w:val="20"/>
      <w:szCs w:val="20"/>
    </w:rPr>
  </w:style>
  <w:style w:type="character" w:customStyle="1" w:styleId="CommentTextChar">
    <w:name w:val="Comment Text Char"/>
    <w:basedOn w:val="DefaultParagraphFont"/>
    <w:link w:val="CommentText"/>
    <w:uiPriority w:val="99"/>
    <w:semiHidden/>
    <w:rsid w:val="00717E42"/>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17E42"/>
    <w:rPr>
      <w:b/>
      <w:bCs/>
    </w:rPr>
  </w:style>
  <w:style w:type="character" w:customStyle="1" w:styleId="CommentSubjectChar">
    <w:name w:val="Comment Subject Char"/>
    <w:basedOn w:val="CommentTextChar"/>
    <w:link w:val="CommentSubject"/>
    <w:uiPriority w:val="99"/>
    <w:semiHidden/>
    <w:rsid w:val="00717E42"/>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717E42"/>
    <w:rPr>
      <w:rFonts w:ascii="Tahoma" w:hAnsi="Tahoma" w:cs="Tahoma"/>
      <w:sz w:val="16"/>
      <w:szCs w:val="16"/>
    </w:rPr>
  </w:style>
  <w:style w:type="character" w:customStyle="1" w:styleId="BalloonTextChar">
    <w:name w:val="Balloon Text Char"/>
    <w:basedOn w:val="DefaultParagraphFont"/>
    <w:link w:val="BalloonText"/>
    <w:uiPriority w:val="99"/>
    <w:semiHidden/>
    <w:rsid w:val="00717E42"/>
    <w:rPr>
      <w:rFonts w:ascii="Tahoma" w:eastAsia="Arial" w:hAnsi="Tahoma" w:cs="Tahoma"/>
      <w:sz w:val="16"/>
      <w:szCs w:val="16"/>
      <w:lang w:val="en-GB" w:eastAsia="en-GB" w:bidi="en-GB"/>
    </w:rPr>
  </w:style>
  <w:style w:type="character" w:customStyle="1" w:styleId="UnresolvedMention1">
    <w:name w:val="Unresolved Mention1"/>
    <w:basedOn w:val="DefaultParagraphFont"/>
    <w:uiPriority w:val="99"/>
    <w:semiHidden/>
    <w:unhideWhenUsed/>
    <w:rsid w:val="00471C4A"/>
    <w:rPr>
      <w:color w:val="605E5C"/>
      <w:shd w:val="clear" w:color="auto" w:fill="E1DFDD"/>
    </w:rPr>
  </w:style>
  <w:style w:type="character" w:styleId="UnresolvedMention">
    <w:name w:val="Unresolved Mention"/>
    <w:basedOn w:val="DefaultParagraphFont"/>
    <w:uiPriority w:val="99"/>
    <w:semiHidden/>
    <w:unhideWhenUsed/>
    <w:rsid w:val="009F7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42316">
      <w:bodyDiv w:val="1"/>
      <w:marLeft w:val="0"/>
      <w:marRight w:val="0"/>
      <w:marTop w:val="0"/>
      <w:marBottom w:val="0"/>
      <w:divBdr>
        <w:top w:val="none" w:sz="0" w:space="0" w:color="auto"/>
        <w:left w:val="none" w:sz="0" w:space="0" w:color="auto"/>
        <w:bottom w:val="none" w:sz="0" w:space="0" w:color="auto"/>
        <w:right w:val="none" w:sz="0" w:space="0" w:color="auto"/>
      </w:divBdr>
    </w:div>
    <w:div w:id="845703786">
      <w:bodyDiv w:val="1"/>
      <w:marLeft w:val="0"/>
      <w:marRight w:val="0"/>
      <w:marTop w:val="0"/>
      <w:marBottom w:val="0"/>
      <w:divBdr>
        <w:top w:val="none" w:sz="0" w:space="0" w:color="auto"/>
        <w:left w:val="none" w:sz="0" w:space="0" w:color="auto"/>
        <w:bottom w:val="none" w:sz="0" w:space="0" w:color="auto"/>
        <w:right w:val="none" w:sz="0" w:space="0" w:color="auto"/>
      </w:divBdr>
    </w:div>
    <w:div w:id="1633747294">
      <w:bodyDiv w:val="1"/>
      <w:marLeft w:val="0"/>
      <w:marRight w:val="0"/>
      <w:marTop w:val="0"/>
      <w:marBottom w:val="0"/>
      <w:divBdr>
        <w:top w:val="none" w:sz="0" w:space="0" w:color="auto"/>
        <w:left w:val="none" w:sz="0" w:space="0" w:color="auto"/>
        <w:bottom w:val="none" w:sz="0" w:space="0" w:color="auto"/>
        <w:right w:val="none" w:sz="0" w:space="0" w:color="auto"/>
      </w:divBdr>
    </w:div>
    <w:div w:id="1739548681">
      <w:bodyDiv w:val="1"/>
      <w:marLeft w:val="0"/>
      <w:marRight w:val="0"/>
      <w:marTop w:val="0"/>
      <w:marBottom w:val="0"/>
      <w:divBdr>
        <w:top w:val="none" w:sz="0" w:space="0" w:color="auto"/>
        <w:left w:val="none" w:sz="0" w:space="0" w:color="auto"/>
        <w:bottom w:val="none" w:sz="0" w:space="0" w:color="auto"/>
        <w:right w:val="none" w:sz="0" w:space="0" w:color="auto"/>
      </w:divBdr>
    </w:div>
    <w:div w:id="1758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nvo.org.uk/resource-centre/payment-and-recognition-for-public-involvement/involvement-cost-calculator/" TargetMode="External"/><Relationship Id="rId18" Type="http://schemas.openxmlformats.org/officeDocument/2006/relationships/hyperlink" Target="https://www.nihr.ac.uk/documents/payment-guidance-for-researchers-and-professionals/27392" TargetMode="External"/><Relationship Id="rId26" Type="http://schemas.openxmlformats.org/officeDocument/2006/relationships/hyperlink" Target="http://documents.manchester.ac.uk/display.aspx?DocID=39693" TargetMode="External"/><Relationship Id="rId39" Type="http://schemas.openxmlformats.org/officeDocument/2006/relationships/hyperlink" Target="http://www.bmh.manchester.ac.uk/connect/social-responsibility/public-patients/" TargetMode="External"/><Relationship Id="rId3" Type="http://schemas.openxmlformats.org/officeDocument/2006/relationships/settings" Target="settings.xml"/><Relationship Id="rId21" Type="http://schemas.openxmlformats.org/officeDocument/2006/relationships/hyperlink" Target="file:///\\ss3.ds.man.ac.uk\VOL6\FACULTY\CEI\PPIE\Fees%20and%20Payments\&#61607;%09www.staffnet.manchester.ac.uk\bmh\social-responsibility\public-and-patient-engagement\ppie-toolkit\guidance-documents-and-templates\" TargetMode="External"/><Relationship Id="rId34" Type="http://schemas.openxmlformats.org/officeDocument/2006/relationships/hyperlink" Target="https://documents.manchester.ac.uk/display.aspx?DocID=57938" TargetMode="External"/><Relationship Id="rId42" Type="http://schemas.openxmlformats.org/officeDocument/2006/relationships/hyperlink" Target="https://www.nihr.ac.uk/documents/payment-guidance-for-researchers-and-professionals/27392" TargetMode="External"/><Relationship Id="rId47" Type="http://schemas.openxmlformats.org/officeDocument/2006/relationships/hyperlink" Target="https://www.livingwage.org.uk/what-real-living-wage" TargetMode="External"/><Relationship Id="rId50" Type="http://schemas.openxmlformats.org/officeDocument/2006/relationships/header" Target="header1.xml"/><Relationship Id="rId7" Type="http://schemas.openxmlformats.org/officeDocument/2006/relationships/hyperlink" Target="file:///\\ss3.ds.man.ac.uk\VOL6\FACULTY\CEI\PPIE\Fees%20and%20Payments\documents.manchester.ac.uk\DocuInfo.aspx%3fDocID=29417" TargetMode="Externa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yperlink" Target="mailto:ced@nihr.ac.uk" TargetMode="External"/><Relationship Id="rId25" Type="http://schemas.openxmlformats.org/officeDocument/2006/relationships/hyperlink" Target="mailto:FBMethics@manchester.ac.uk" TargetMode="External"/><Relationship Id="rId33" Type="http://schemas.openxmlformats.org/officeDocument/2006/relationships/hyperlink" Target="http://documents.manchester.ac.uk/display.aspx?DocID=42647" TargetMode="External"/><Relationship Id="rId38" Type="http://schemas.openxmlformats.org/officeDocument/2006/relationships/hyperlink" Target="https://documents.manchester.ac.uk/display.aspx?DocID=57938" TargetMode="External"/><Relationship Id="rId46" Type="http://schemas.openxmlformats.org/officeDocument/2006/relationships/hyperlink" Target="https://www.livingwage.org.uk/" TargetMode="External"/><Relationship Id="rId2" Type="http://schemas.openxmlformats.org/officeDocument/2006/relationships/styles" Target="styles.xml"/><Relationship Id="rId16" Type="http://schemas.openxmlformats.org/officeDocument/2006/relationships/hyperlink" Target="https://www.gov.uk/hmrc-internal-manuals/employment-income-manual/eim71105" TargetMode="External"/><Relationship Id="rId20" Type="http://schemas.openxmlformats.org/officeDocument/2006/relationships/hyperlink" Target="http://www.invo.org.uk/resource-centre/payment-and-recognition-for-public-involvement/involvement-cost-calculator/" TargetMode="External"/><Relationship Id="rId29" Type="http://schemas.openxmlformats.org/officeDocument/2006/relationships/hyperlink" Target="https://www.staffnet.manchester.ac.uk/igo/training-and-support/" TargetMode="External"/><Relationship Id="rId41" Type="http://schemas.openxmlformats.org/officeDocument/2006/relationships/hyperlink" Target="mailto:srbmh@mancheste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ffnet.manchester.ac.uk/bmh/about-fbmh/our-structure/ps-functions/rbss/research-services/" TargetMode="External"/><Relationship Id="rId24" Type="http://schemas.openxmlformats.org/officeDocument/2006/relationships/hyperlink" Target="https://cdn.ymaws.com/www.tmn.ac.uk/resource/collection/D80ACB4B-2D30-4A0C-919A-2A01461D3AD7/Model_payment_policy_for_MHRN_Hubs%5b1%5d.pdf" TargetMode="External"/><Relationship Id="rId32" Type="http://schemas.openxmlformats.org/officeDocument/2006/relationships/hyperlink" Target="http://documents.manchester.ac.uk/display.aspx?DocID=42646" TargetMode="External"/><Relationship Id="rId37" Type="http://schemas.openxmlformats.org/officeDocument/2006/relationships/hyperlink" Target="https://www.staffnet.manchester.ac.uk/finance/purchasing/vouchers/" TargetMode="External"/><Relationship Id="rId40" Type="http://schemas.openxmlformats.org/officeDocument/2006/relationships/hyperlink" Target="https://www.staffnet.manchester.ac.uk/bmh/about-fbmh/our-structure/ps-functions/rbss/strategic-funding/" TargetMode="External"/><Relationship Id="rId45" Type="http://schemas.openxmlformats.org/officeDocument/2006/relationships/hyperlink" Target="https://www.nihr.ac.uk/documents/payment-guidance-for-researchers-and-professionals/27392"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ellcome.ac.uk/Funding/Public-%20engagement/" TargetMode="External"/><Relationship Id="rId23" Type="http://schemas.openxmlformats.org/officeDocument/2006/relationships/hyperlink" Target="https://www.nihr.ac.uk/documents/centre-for-engagement-and-dissemination-recognition-payments-for-public-contributors/24979" TargetMode="External"/><Relationship Id="rId28" Type="http://schemas.openxmlformats.org/officeDocument/2006/relationships/hyperlink" Target="http://documents.manchester.ac.uk/DocuInfo.aspx?DocID=14914" TargetMode="External"/><Relationship Id="rId36" Type="http://schemas.openxmlformats.org/officeDocument/2006/relationships/hyperlink" Target="https://blogs.bmh.manchester.ac.uk/blog/2022/02/18/changes-to-gift-voucher-purchases-for-research-participants-and-public-contributors/" TargetMode="External"/><Relationship Id="rId49" Type="http://schemas.openxmlformats.org/officeDocument/2006/relationships/hyperlink" Target="https://www.nihr.ac.uk/documents/centre-for-engagement-and-dissemination-recognition-payments-for-public-contributors/24979" TargetMode="External"/><Relationship Id="rId10" Type="http://schemas.openxmlformats.org/officeDocument/2006/relationships/hyperlink" Target="mailto:srbmh@manchester.ac.uk" TargetMode="External"/><Relationship Id="rId19" Type="http://schemas.openxmlformats.org/officeDocument/2006/relationships/hyperlink" Target="https://www.nihr.ac.uk/documents/payment-guidance-for-researchers-and-professionals/27392" TargetMode="External"/><Relationship Id="rId31" Type="http://schemas.openxmlformats.org/officeDocument/2006/relationships/hyperlink" Target="mailto:cashiers@manchester.ac.uk" TargetMode="External"/><Relationship Id="rId44" Type="http://schemas.openxmlformats.org/officeDocument/2006/relationships/hyperlink" Target="https://www.crn.nihr.ac.u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mh.manchester.ac.uk/connect/social-responsibility" TargetMode="External"/><Relationship Id="rId14" Type="http://schemas.openxmlformats.org/officeDocument/2006/relationships/hyperlink" Target="http://www.rds-nw.nihr.ac.uk/public-involvement/fund/" TargetMode="External"/><Relationship Id="rId22" Type="http://schemas.openxmlformats.org/officeDocument/2006/relationships/hyperlink" Target="http://documents.manchester.ac.uk/display.aspx?DocID=38313" TargetMode="External"/><Relationship Id="rId27" Type="http://schemas.openxmlformats.org/officeDocument/2006/relationships/hyperlink" Target="mailto:feesandexpenses@manchester.ac.uk" TargetMode="External"/><Relationship Id="rId30" Type="http://schemas.openxmlformats.org/officeDocument/2006/relationships/hyperlink" Target="mailto:cashiers@manchester.ac.uk" TargetMode="External"/><Relationship Id="rId35" Type="http://schemas.openxmlformats.org/officeDocument/2006/relationships/hyperlink" Target="mailto:vouchers@manchester.ac.uk" TargetMode="External"/><Relationship Id="rId43" Type="http://schemas.openxmlformats.org/officeDocument/2006/relationships/hyperlink" Target="http://www.rds-nw.nihr.ac.uk/" TargetMode="External"/><Relationship Id="rId48" Type="http://schemas.openxmlformats.org/officeDocument/2006/relationships/hyperlink" Target="https://www.nihr.ac.uk/documents/payment-guidance-for-researchers-and-professionals/27392" TargetMode="External"/><Relationship Id="rId8" Type="http://schemas.openxmlformats.org/officeDocument/2006/relationships/hyperlink" Target="http://documents.manchester.ac.uk/display.aspx?DocID=46723" TargetMode="Externa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samantha.franklin@manchester.ac.uk</dc:creator>
  <cp:keywords/>
  <dc:description/>
  <cp:lastModifiedBy>Samantha Franklin</cp:lastModifiedBy>
  <cp:revision>3</cp:revision>
  <dcterms:created xsi:type="dcterms:W3CDTF">2023-03-13T10:02:00Z</dcterms:created>
  <dcterms:modified xsi:type="dcterms:W3CDTF">2023-03-13T10:16:00Z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Creator">
    <vt:lpwstr>Microsoft® Word 2010</vt:lpwstr>
  </property>
  <property fmtid="{D5CDD505-2E9C-101B-9397-08002B2CF9AE}" pid="4" name="LastSaved">
    <vt:filetime>2018-08-07T00:00:00Z</vt:filetime>
  </property>
</Properties>
</file>