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F2" w:rsidRPr="008D7C80" w:rsidRDefault="0023604A" w:rsidP="008A533E">
      <w:pPr>
        <w:pStyle w:val="Heading2"/>
        <w:rPr>
          <w:rFonts w:asciiTheme="minorHAnsi" w:hAnsiTheme="minorHAnsi"/>
          <w:color w:val="auto"/>
          <w:sz w:val="22"/>
          <w:szCs w:val="22"/>
        </w:rPr>
      </w:pPr>
      <w:bookmarkStart w:id="0" w:name="_GoBack"/>
      <w:bookmarkEnd w:id="0"/>
      <w:r w:rsidRPr="008D7C80">
        <w:rPr>
          <w:rFonts w:asciiTheme="minorHAnsi" w:hAnsiTheme="minorHAnsi"/>
          <w:color w:val="auto"/>
          <w:sz w:val="22"/>
          <w:szCs w:val="22"/>
        </w:rPr>
        <w:t xml:space="preserve">INFORMATION ASSET REGISTERS - </w:t>
      </w:r>
      <w:r w:rsidR="00842DF2" w:rsidRPr="008D7C80">
        <w:rPr>
          <w:rFonts w:asciiTheme="minorHAnsi" w:hAnsiTheme="minorHAnsi"/>
          <w:color w:val="auto"/>
          <w:sz w:val="22"/>
          <w:szCs w:val="22"/>
        </w:rPr>
        <w:t>Guidance intended for Information Governance Guardians</w:t>
      </w:r>
    </w:p>
    <w:p w:rsidR="00E42105" w:rsidRDefault="00E42105" w:rsidP="0023604A">
      <w:pPr>
        <w:rPr>
          <w:rFonts w:eastAsiaTheme="majorEastAsia" w:cstheme="majorBidi"/>
          <w:b/>
          <w:bCs/>
        </w:rPr>
      </w:pPr>
    </w:p>
    <w:p w:rsidR="0023604A" w:rsidRPr="008D7C80" w:rsidRDefault="0023604A" w:rsidP="0023604A">
      <w:pPr>
        <w:rPr>
          <w:rFonts w:eastAsiaTheme="majorEastAsia" w:cstheme="majorBidi"/>
          <w:b/>
          <w:bCs/>
        </w:rPr>
      </w:pPr>
      <w:r w:rsidRPr="008D7C80">
        <w:rPr>
          <w:rFonts w:eastAsiaTheme="majorEastAsia" w:cstheme="majorBidi"/>
          <w:b/>
          <w:bCs/>
        </w:rPr>
        <w:t>Why do we need an Information Asset Register?</w:t>
      </w:r>
    </w:p>
    <w:p w:rsidR="00646477" w:rsidRDefault="00646477" w:rsidP="00646477">
      <w:r>
        <w:t xml:space="preserve">An Information Asset Register (IAR) </w:t>
      </w:r>
      <w:r w:rsidR="00A32138">
        <w:t>is a</w:t>
      </w:r>
      <w:r>
        <w:t xml:space="preserve"> </w:t>
      </w:r>
      <w:r w:rsidR="00A32138">
        <w:t xml:space="preserve">catalogue </w:t>
      </w:r>
      <w:r>
        <w:t xml:space="preserve">of the information we hold and process, where it is stored, how it moves and who we share it with. </w:t>
      </w:r>
      <w:r w:rsidR="00A32138">
        <w:t>We need to know what the data is, to assign a classification and protection reflecting this.</w:t>
      </w:r>
    </w:p>
    <w:p w:rsidR="004A634A" w:rsidRDefault="004A634A" w:rsidP="004A634A">
      <w:r>
        <w:t xml:space="preserve">University </w:t>
      </w:r>
      <w:r w:rsidR="007B1B6A">
        <w:t xml:space="preserve">teaching, research and administrative </w:t>
      </w:r>
      <w:r>
        <w:t>activities rely on different kinds of information asset</w:t>
      </w:r>
      <w:r w:rsidR="000467ED">
        <w:t xml:space="preserve"> such as</w:t>
      </w:r>
      <w:r>
        <w:t xml:space="preserve"> s</w:t>
      </w:r>
      <w:r w:rsidRPr="0088051E">
        <w:t>oftware, application</w:t>
      </w:r>
      <w:r>
        <w:t>s</w:t>
      </w:r>
      <w:r w:rsidRPr="0088051E">
        <w:t>, website</w:t>
      </w:r>
      <w:r>
        <w:t>s</w:t>
      </w:r>
      <w:r w:rsidRPr="0088051E">
        <w:t>, database</w:t>
      </w:r>
      <w:r>
        <w:t>s</w:t>
      </w:r>
      <w:r w:rsidRPr="0088051E">
        <w:t>, dataset</w:t>
      </w:r>
      <w:r>
        <w:t>s</w:t>
      </w:r>
      <w:r w:rsidRPr="0088051E">
        <w:t xml:space="preserve">, </w:t>
      </w:r>
      <w:r w:rsidR="00A32138">
        <w:t xml:space="preserve">information / research in the data warehouse / data management storage, </w:t>
      </w:r>
      <w:r w:rsidRPr="0088051E">
        <w:t>download</w:t>
      </w:r>
      <w:r w:rsidR="00402CE9">
        <w:t>s</w:t>
      </w:r>
      <w:r w:rsidRPr="0088051E">
        <w:t xml:space="preserve"> or </w:t>
      </w:r>
      <w:r w:rsidR="000467ED">
        <w:t>extracts</w:t>
      </w:r>
      <w:r w:rsidRPr="0088051E">
        <w:t xml:space="preserve"> from </w:t>
      </w:r>
      <w:r w:rsidR="000467ED">
        <w:t>U</w:t>
      </w:r>
      <w:r w:rsidRPr="0088051E">
        <w:t xml:space="preserve">niversity </w:t>
      </w:r>
      <w:r w:rsidR="000467ED">
        <w:t>core</w:t>
      </w:r>
      <w:r w:rsidRPr="0088051E">
        <w:t xml:space="preserve"> systems (</w:t>
      </w:r>
      <w:r w:rsidR="000467ED">
        <w:t>eg</w:t>
      </w:r>
      <w:r w:rsidRPr="0088051E">
        <w:t xml:space="preserve"> Campus Solution</w:t>
      </w:r>
      <w:r w:rsidR="000467ED">
        <w:t>s</w:t>
      </w:r>
      <w:r w:rsidRPr="0088051E">
        <w:t>), shared drive content, documents, research project</w:t>
      </w:r>
      <w:r w:rsidR="000467ED">
        <w:t>s</w:t>
      </w:r>
      <w:r w:rsidRPr="0088051E">
        <w:t>, spreadsheets, dissertations</w:t>
      </w:r>
      <w:r w:rsidR="007B1B6A">
        <w:t>, videos, audio recordings, paper records</w:t>
      </w:r>
      <w:r w:rsidR="000467ED">
        <w:t xml:space="preserve"> etc</w:t>
      </w:r>
      <w:r w:rsidRPr="0088051E">
        <w:t>.</w:t>
      </w:r>
    </w:p>
    <w:p w:rsidR="004A634A" w:rsidRDefault="007B1B6A" w:rsidP="00646477">
      <w:r>
        <w:t>Adopting a risk-based approach, we need to ensure that appropriate technical and organisational measures are in place to protect our most important information</w:t>
      </w:r>
      <w:r w:rsidR="00CE1160" w:rsidRPr="00CE1160">
        <w:t xml:space="preserve"> </w:t>
      </w:r>
      <w:r w:rsidR="00CE1160">
        <w:t>from threats and vulnerabilities</w:t>
      </w:r>
      <w:r>
        <w:t xml:space="preserve">, and an IAR is a fundamental step towards providing this assurance. </w:t>
      </w:r>
      <w:r w:rsidR="008E4EE6">
        <w:t xml:space="preserve">  Our most important information assets are those where </w:t>
      </w:r>
      <w:r w:rsidR="00730C8E">
        <w:t>a</w:t>
      </w:r>
      <w:r w:rsidR="008E4EE6">
        <w:t xml:space="preserve"> breach in the confidentiality, or a loss of integrity or availability of the information</w:t>
      </w:r>
      <w:r w:rsidR="00730C8E">
        <w:t xml:space="preserve"> would have significant impact on our operations or reputation.  </w:t>
      </w:r>
    </w:p>
    <w:p w:rsidR="00DF34F9" w:rsidRPr="00842DF2" w:rsidRDefault="00B07249" w:rsidP="00DF34F9">
      <w:r>
        <w:t xml:space="preserve">A robust framework of coherent, </w:t>
      </w:r>
      <w:r w:rsidRPr="00842DF2">
        <w:t>effective, consistent and cost justified</w:t>
      </w:r>
      <w:r>
        <w:t xml:space="preserve"> security measures to protect o</w:t>
      </w:r>
      <w:r w:rsidR="00DF34F9">
        <w:t xml:space="preserve">ur information assets </w:t>
      </w:r>
      <w:r>
        <w:t xml:space="preserve">will support </w:t>
      </w:r>
      <w:r w:rsidR="00DF34F9">
        <w:t>the University</w:t>
      </w:r>
      <w:r>
        <w:t>’s</w:t>
      </w:r>
      <w:r w:rsidR="00DF34F9">
        <w:t xml:space="preserve"> strategic aim</w:t>
      </w:r>
      <w:r>
        <w:t xml:space="preserve"> of</w:t>
      </w:r>
      <w:r w:rsidR="00DF34F9">
        <w:t xml:space="preserve"> “Quality processes with customer focus, effective, agile, lean and fit for purpose and will provide assurance that we are meeting our legal and statutory obligations”. </w:t>
      </w:r>
    </w:p>
    <w:p w:rsidR="002C3D8B" w:rsidRPr="008D7C80" w:rsidRDefault="002C3D8B" w:rsidP="002C3D8B">
      <w:pPr>
        <w:rPr>
          <w:rFonts w:eastAsiaTheme="majorEastAsia" w:cstheme="majorBidi"/>
          <w:b/>
          <w:bCs/>
        </w:rPr>
      </w:pPr>
      <w:r w:rsidRPr="008D7C80">
        <w:rPr>
          <w:rFonts w:eastAsiaTheme="majorEastAsia" w:cstheme="majorBidi"/>
          <w:b/>
          <w:bCs/>
        </w:rPr>
        <w:t>The legal point:</w:t>
      </w:r>
    </w:p>
    <w:p w:rsidR="002C3D8B" w:rsidRDefault="00CE1160" w:rsidP="00CE1160">
      <w:r>
        <w:t>The current</w:t>
      </w:r>
      <w:r w:rsidR="002C3D8B">
        <w:t xml:space="preserve"> Data Protection Act </w:t>
      </w:r>
      <w:r>
        <w:t>imposes responsibilities on the University as data controller to protect the person identifying information (PII) we process</w:t>
      </w:r>
      <w:r w:rsidR="008D7C80">
        <w:t>,</w:t>
      </w:r>
      <w:r>
        <w:t xml:space="preserve"> and a data breach can result in fines up to £500,000. </w:t>
      </w:r>
      <w:r w:rsidR="002C3D8B">
        <w:t xml:space="preserve"> </w:t>
      </w:r>
    </w:p>
    <w:p w:rsidR="00E42105" w:rsidRDefault="002C3D8B" w:rsidP="002C3D8B">
      <w:r>
        <w:t xml:space="preserve">The General Data Protection Regulation </w:t>
      </w:r>
      <w:r w:rsidR="00E42105">
        <w:t>(</w:t>
      </w:r>
      <w:r w:rsidR="008D7C80">
        <w:t>GDPR</w:t>
      </w:r>
      <w:r w:rsidR="00E42105">
        <w:t>)</w:t>
      </w:r>
      <w:r w:rsidR="008D7C80">
        <w:t xml:space="preserve"> </w:t>
      </w:r>
      <w:r>
        <w:t>is the new data protection regime the UK</w:t>
      </w:r>
      <w:r w:rsidR="00A32138">
        <w:t>, which we</w:t>
      </w:r>
      <w:r>
        <w:t xml:space="preserve"> will adopt (regardless of the status of the EU Membership of the UK following the Brexit referendum)</w:t>
      </w:r>
      <w:r w:rsidR="008D7C80">
        <w:t xml:space="preserve"> and whilst there are many similarities with the Data Protection Act, a</w:t>
      </w:r>
      <w:r>
        <w:t xml:space="preserve"> big change is</w:t>
      </w:r>
      <w:r w:rsidR="008D7C80">
        <w:t xml:space="preserve"> that </w:t>
      </w:r>
      <w:r>
        <w:t xml:space="preserve">the fines </w:t>
      </w:r>
      <w:r w:rsidR="008D7C80">
        <w:t xml:space="preserve">can be imposed </w:t>
      </w:r>
      <w:r>
        <w:t xml:space="preserve">where a data controller does not need to have committed a </w:t>
      </w:r>
      <w:r w:rsidR="008D7C80">
        <w:t>d</w:t>
      </w:r>
      <w:r>
        <w:t xml:space="preserve">ata </w:t>
      </w:r>
      <w:r w:rsidR="008D7C80">
        <w:t>b</w:t>
      </w:r>
      <w:r>
        <w:t xml:space="preserve">reach, </w:t>
      </w:r>
      <w:r w:rsidR="008D7C80">
        <w:t xml:space="preserve">as </w:t>
      </w:r>
      <w:r>
        <w:t xml:space="preserve">evidence of noncompliance will suffice. Record management and </w:t>
      </w:r>
      <w:r w:rsidR="008D7C80">
        <w:t>r</w:t>
      </w:r>
      <w:r>
        <w:t xml:space="preserve">etention are particularly targeted. The </w:t>
      </w:r>
      <w:r w:rsidR="008D7C80">
        <w:t xml:space="preserve">maximum </w:t>
      </w:r>
      <w:r>
        <w:t xml:space="preserve">fines are also considerably </w:t>
      </w:r>
      <w:r w:rsidR="008D7C80">
        <w:t>higher</w:t>
      </w:r>
      <w:r w:rsidR="00A32138">
        <w:t xml:space="preserve">, </w:t>
      </w:r>
      <w:r w:rsidR="00A32138" w:rsidRPr="00AA2396">
        <w:t xml:space="preserve">up to </w:t>
      </w:r>
      <w:r w:rsidR="00A32138" w:rsidRPr="00691FED">
        <w:rPr>
          <w:rFonts w:hint="eastAsia"/>
          <w:color w:val="000000"/>
          <w:lang w:val="en"/>
        </w:rPr>
        <w:t>€</w:t>
      </w:r>
      <w:r w:rsidR="00A32138" w:rsidRPr="00691FED">
        <w:rPr>
          <w:color w:val="000000"/>
          <w:lang w:val="en"/>
        </w:rPr>
        <w:t>20 million</w:t>
      </w:r>
      <w:r w:rsidR="00730C8E">
        <w:t>.</w:t>
      </w:r>
    </w:p>
    <w:p w:rsidR="002C3D8B" w:rsidRDefault="002C3D8B" w:rsidP="00842DF2">
      <w:r>
        <w:t>More training will be available on GDPR when relevant.</w:t>
      </w:r>
    </w:p>
    <w:p w:rsidR="009F76F3" w:rsidRPr="00E42105" w:rsidRDefault="00DA1D5E" w:rsidP="00842DF2">
      <w:pPr>
        <w:rPr>
          <w:rFonts w:eastAsiaTheme="majorEastAsia" w:cstheme="majorBidi"/>
          <w:b/>
          <w:bCs/>
        </w:rPr>
      </w:pPr>
      <w:r>
        <w:rPr>
          <w:rFonts w:eastAsiaTheme="majorEastAsia" w:cstheme="majorBidi"/>
          <w:b/>
          <w:bCs/>
        </w:rPr>
        <w:t xml:space="preserve">Cataloguing </w:t>
      </w:r>
      <w:r w:rsidR="0014444E">
        <w:rPr>
          <w:rFonts w:eastAsiaTheme="majorEastAsia" w:cstheme="majorBidi"/>
          <w:b/>
          <w:bCs/>
        </w:rPr>
        <w:t>your</w:t>
      </w:r>
      <w:r>
        <w:rPr>
          <w:rFonts w:eastAsiaTheme="majorEastAsia" w:cstheme="majorBidi"/>
          <w:b/>
          <w:bCs/>
        </w:rPr>
        <w:t xml:space="preserve"> information: the process</w:t>
      </w:r>
    </w:p>
    <w:p w:rsidR="006C23A3" w:rsidRDefault="009F76F3" w:rsidP="006C23A3">
      <w:r>
        <w:t xml:space="preserve">You will be provided with </w:t>
      </w:r>
      <w:r w:rsidR="000517B7">
        <w:t>a</w:t>
      </w:r>
      <w:r>
        <w:t xml:space="preserve"> template</w:t>
      </w:r>
      <w:r w:rsidR="008974D1">
        <w:t xml:space="preserve"> spreadsheet</w:t>
      </w:r>
      <w:r>
        <w:t>, this guidance and contact details of your designated</w:t>
      </w:r>
      <w:r w:rsidR="00055CBD">
        <w:t xml:space="preserve"> Information Governance Officer.</w:t>
      </w:r>
      <w:r w:rsidR="0088051E">
        <w:t xml:space="preserve"> Each </w:t>
      </w:r>
      <w:r w:rsidR="000517B7">
        <w:t xml:space="preserve">Information </w:t>
      </w:r>
      <w:r w:rsidR="0088051E">
        <w:t>G</w:t>
      </w:r>
      <w:r w:rsidR="000517B7">
        <w:t xml:space="preserve">overnance </w:t>
      </w:r>
      <w:r w:rsidR="0088051E">
        <w:t>G</w:t>
      </w:r>
      <w:r w:rsidR="000517B7">
        <w:t>uardian</w:t>
      </w:r>
      <w:r w:rsidR="0088051E">
        <w:t xml:space="preserve"> will be required to disseminate these </w:t>
      </w:r>
      <w:r w:rsidR="008974D1">
        <w:t xml:space="preserve">documents </w:t>
      </w:r>
      <w:r w:rsidR="0088051E">
        <w:t>to identified information asset owners / data custodians within their schools / support offices. Once</w:t>
      </w:r>
      <w:r w:rsidR="008974D1">
        <w:t xml:space="preserve"> the </w:t>
      </w:r>
      <w:r w:rsidR="0088051E">
        <w:t xml:space="preserve">information </w:t>
      </w:r>
      <w:r w:rsidR="008974D1">
        <w:t xml:space="preserve">has been </w:t>
      </w:r>
      <w:r w:rsidR="0088051E">
        <w:t xml:space="preserve">gathered, please </w:t>
      </w:r>
      <w:r w:rsidR="008974D1">
        <w:t xml:space="preserve">consolidate the spreadsheets </w:t>
      </w:r>
      <w:r w:rsidR="0088051E">
        <w:t>and send</w:t>
      </w:r>
      <w:r w:rsidR="008974D1">
        <w:t xml:space="preserve"> the summarised </w:t>
      </w:r>
      <w:r w:rsidR="006C23A3">
        <w:t>spreadsheet to informationsecurity@manchester.ac.uk.</w:t>
      </w:r>
    </w:p>
    <w:p w:rsidR="00DF34F9" w:rsidRDefault="00DF34F9" w:rsidP="006C23A3"/>
    <w:p w:rsidR="009F76F3" w:rsidRDefault="009F76F3" w:rsidP="00842DF2">
      <w:r>
        <w:t xml:space="preserve">Once we have received your collated responses, we will analyse them and may request that </w:t>
      </w:r>
      <w:r w:rsidR="0014444E">
        <w:t>the information asset owner</w:t>
      </w:r>
      <w:r>
        <w:t xml:space="preserve"> undertake a risk assessment of a particular </w:t>
      </w:r>
      <w:r w:rsidR="00DF34F9">
        <w:t>i</w:t>
      </w:r>
      <w:r>
        <w:t>nformation asset</w:t>
      </w:r>
      <w:r w:rsidR="00A54D32">
        <w:t xml:space="preserve"> if </w:t>
      </w:r>
      <w:r w:rsidR="00C82584">
        <w:t xml:space="preserve">high risks are </w:t>
      </w:r>
      <w:r w:rsidR="00DF34F9">
        <w:t>indicated</w:t>
      </w:r>
      <w:r w:rsidR="00A54D32">
        <w:t xml:space="preserve">. </w:t>
      </w:r>
      <w:r>
        <w:t xml:space="preserve"> </w:t>
      </w:r>
      <w:r w:rsidR="00A54D32">
        <w:t>We</w:t>
      </w:r>
      <w:r>
        <w:t xml:space="preserve"> </w:t>
      </w:r>
      <w:r w:rsidR="00A54D32">
        <w:t>may</w:t>
      </w:r>
      <w:r>
        <w:t xml:space="preserve"> make recommendations to i</w:t>
      </w:r>
      <w:r w:rsidR="00DF34F9">
        <w:t>mprove</w:t>
      </w:r>
      <w:r>
        <w:t xml:space="preserve"> the management and security of the</w:t>
      </w:r>
      <w:r w:rsidR="00C82584">
        <w:t xml:space="preserve"> </w:t>
      </w:r>
      <w:r>
        <w:t xml:space="preserve">information </w:t>
      </w:r>
      <w:r w:rsidR="00752812">
        <w:t>with</w:t>
      </w:r>
      <w:r>
        <w:t xml:space="preserve"> a reasonable and proportionate approach</w:t>
      </w:r>
      <w:r w:rsidR="00DF34F9">
        <w:t xml:space="preserve"> to mitigate risks</w:t>
      </w:r>
      <w:r>
        <w:t>.</w:t>
      </w:r>
    </w:p>
    <w:p w:rsidR="00677B7D" w:rsidRDefault="00C82584" w:rsidP="00677B7D">
      <w:r>
        <w:t xml:space="preserve">The </w:t>
      </w:r>
      <w:r w:rsidR="00DF34F9">
        <w:t xml:space="preserve">IAR </w:t>
      </w:r>
      <w:r>
        <w:t>will give us an</w:t>
      </w:r>
      <w:r w:rsidR="009F76F3">
        <w:t xml:space="preserve"> institution-wide view</w:t>
      </w:r>
      <w:r>
        <w:t xml:space="preserve"> and </w:t>
      </w:r>
      <w:r w:rsidR="00637454">
        <w:t xml:space="preserve">will enable us </w:t>
      </w:r>
      <w:r w:rsidR="00752812">
        <w:t xml:space="preserve">to </w:t>
      </w:r>
      <w:r>
        <w:t>help you</w:t>
      </w:r>
      <w:r w:rsidR="00752812">
        <w:t xml:space="preserve">, spot trends, and </w:t>
      </w:r>
      <w:r w:rsidR="00637454">
        <w:t>develop</w:t>
      </w:r>
      <w:r w:rsidR="009F76F3">
        <w:t xml:space="preserve"> wider continuous improvements</w:t>
      </w:r>
      <w:r w:rsidR="00637454">
        <w:t xml:space="preserve"> </w:t>
      </w:r>
      <w:r w:rsidR="00752812">
        <w:t>to build</w:t>
      </w:r>
      <w:r w:rsidR="00637454">
        <w:t xml:space="preserve"> on </w:t>
      </w:r>
      <w:r>
        <w:t>a sound foundation.</w:t>
      </w:r>
      <w:r w:rsidR="00677B7D">
        <w:t xml:space="preserve"> </w:t>
      </w:r>
    </w:p>
    <w:p w:rsidR="00C82584" w:rsidRDefault="00677B7D" w:rsidP="00842DF2">
      <w:r>
        <w:t xml:space="preserve">Please note that you will be asked to confirm that your </w:t>
      </w:r>
      <w:r w:rsidR="00DF34F9">
        <w:t>IAR</w:t>
      </w:r>
      <w:r>
        <w:t xml:space="preserve"> is complete and up to date through the annual compliance letter.</w:t>
      </w:r>
      <w:r w:rsidR="00DF34F9">
        <w:t xml:space="preserve">  This is not just a survey, this is information management and will be ongoing with annual reviews, however a strong implementation will make the work of the reviews very light.  </w:t>
      </w:r>
    </w:p>
    <w:p w:rsidR="00637454" w:rsidRPr="005F358B" w:rsidRDefault="00637454" w:rsidP="00842DF2">
      <w:pPr>
        <w:rPr>
          <w:rFonts w:asciiTheme="majorHAnsi" w:eastAsiaTheme="majorEastAsia" w:hAnsiTheme="majorHAnsi" w:cstheme="majorBidi"/>
          <w:b/>
          <w:bCs/>
          <w:sz w:val="26"/>
          <w:szCs w:val="26"/>
        </w:rPr>
      </w:pPr>
      <w:r w:rsidRPr="005F358B">
        <w:rPr>
          <w:rFonts w:asciiTheme="majorHAnsi" w:eastAsiaTheme="majorEastAsia" w:hAnsiTheme="majorHAnsi" w:cstheme="majorBidi"/>
          <w:b/>
          <w:bCs/>
          <w:sz w:val="26"/>
          <w:szCs w:val="26"/>
        </w:rPr>
        <w:t>What do we need to record?</w:t>
      </w:r>
    </w:p>
    <w:p w:rsidR="006C23A3" w:rsidRDefault="006C23A3" w:rsidP="006C23A3">
      <w:r>
        <w:t xml:space="preserve"> The Information Governance Office only requires assets to be included where the confidentiality classification is “Highly Restricted” or the integrity and availability classifications are “Critical”. </w:t>
      </w:r>
    </w:p>
    <w:p w:rsidR="006C23A3" w:rsidRDefault="006C23A3" w:rsidP="006C23A3">
      <w:r>
        <w:t>The link to the SOP that will help you to decide the classification of your assets is shown below, and please see the appendix which is a useful summary, especially for information in transit. If you are unsure how to classify your assets, you can discuss it with your Information Governance Guardian or Officer.</w:t>
      </w:r>
    </w:p>
    <w:p w:rsidR="006C23A3" w:rsidRPr="003F5D21" w:rsidRDefault="00582500" w:rsidP="006C23A3">
      <w:pPr>
        <w:shd w:val="clear" w:color="auto" w:fill="FFFFFF"/>
        <w:spacing w:after="0" w:line="240" w:lineRule="auto"/>
        <w:textAlignment w:val="baseline"/>
        <w:outlineLvl w:val="0"/>
        <w:rPr>
          <w:b/>
        </w:rPr>
      </w:pPr>
      <w:hyperlink r:id="rId7" w:history="1">
        <w:r w:rsidR="006C23A3" w:rsidRPr="003F5D21">
          <w:rPr>
            <w:rStyle w:val="Hyperlink"/>
            <w:b/>
          </w:rPr>
          <w:t>Information security classification and secure information handling SOP</w:t>
        </w:r>
      </w:hyperlink>
    </w:p>
    <w:p w:rsidR="00981CD9" w:rsidRDefault="00981CD9" w:rsidP="00981CD9"/>
    <w:p w:rsidR="00981CD9" w:rsidRDefault="00981CD9" w:rsidP="006C23A3">
      <w:r>
        <w:t>We have piloted this process and we found that it has been a useful exercise and some offices have chosen to keep a full asset register, which includes other assets with lower classifications. They were able for example to review access controls (they realised some access had not been removed when employees moved on) or they asked themselves if there was a need / purpose to keep some assets (especially paper) for as long as they have. Copies of information available elsewhere were also identified and found to be inaccurate or not</w:t>
      </w:r>
      <w:r w:rsidR="0014444E">
        <w:t xml:space="preserve"> relevant given the time lapsed, it was still recorded but with an action to arrange for secure destruction.</w:t>
      </w:r>
    </w:p>
    <w:p w:rsidR="00730C8E" w:rsidRDefault="00730C8E" w:rsidP="00730C8E">
      <w:r>
        <w:t>During 2016 Guardians completed a survey in order to capture the sensitive personal data we store and / or when person identifying information (PII) is transferred. The spreadsheets which were completed</w:t>
      </w:r>
      <w:r w:rsidR="008F331E">
        <w:t>,</w:t>
      </w:r>
      <w:r>
        <w:t xml:space="preserve">  provide a </w:t>
      </w:r>
      <w:r w:rsidR="00981CD9">
        <w:t xml:space="preserve">useful </w:t>
      </w:r>
      <w:r>
        <w:t>starting point for locating your information assets</w:t>
      </w:r>
      <w:r w:rsidR="00981CD9">
        <w:t>, as sensitive personal data is an example of information which is classified as Highly Restricted</w:t>
      </w:r>
      <w:r>
        <w:t>.</w:t>
      </w:r>
    </w:p>
    <w:p w:rsidR="00730C8E" w:rsidRDefault="00730C8E" w:rsidP="00842DF2">
      <w:r>
        <w:t>However, sensitive personal data is just one example of data wh</w:t>
      </w:r>
      <w:r w:rsidR="00981CD9">
        <w:t>ere confidentiality is important.</w:t>
      </w:r>
    </w:p>
    <w:p w:rsidR="00D3142C" w:rsidRDefault="00637454" w:rsidP="00842DF2">
      <w:r>
        <w:t>Commercially sensitive data is another category</w:t>
      </w:r>
      <w:r w:rsidR="00981CD9">
        <w:t>:</w:t>
      </w:r>
      <w:r>
        <w:t xml:space="preserve"> </w:t>
      </w:r>
      <w:r w:rsidR="0014444E">
        <w:t>Y</w:t>
      </w:r>
      <w:r>
        <w:t>ou may be involved in procurement tenders</w:t>
      </w:r>
      <w:r w:rsidR="00D3142C">
        <w:t>, where do you keep this information / who do you share it with? Commercially sensitive data may be concerning the running of the University</w:t>
      </w:r>
      <w:r w:rsidR="00981CD9">
        <w:t>:</w:t>
      </w:r>
      <w:r w:rsidR="00D3142C">
        <w:t xml:space="preserve"> </w:t>
      </w:r>
      <w:r w:rsidR="00E11A85">
        <w:t xml:space="preserve">you should </w:t>
      </w:r>
      <w:r w:rsidR="00EB6913">
        <w:t>consider</w:t>
      </w:r>
      <w:r w:rsidR="00D3142C">
        <w:t xml:space="preserve"> what </w:t>
      </w:r>
      <w:r w:rsidR="00E11A85">
        <w:t xml:space="preserve">you </w:t>
      </w:r>
      <w:r w:rsidR="00D3142C">
        <w:t xml:space="preserve">would not </w:t>
      </w:r>
      <w:r w:rsidR="00E11A85">
        <w:t>release</w:t>
      </w:r>
      <w:r w:rsidR="00D3142C">
        <w:t xml:space="preserve"> under </w:t>
      </w:r>
      <w:r w:rsidR="00981CD9">
        <w:t xml:space="preserve">a </w:t>
      </w:r>
      <w:r w:rsidR="00D3142C">
        <w:t xml:space="preserve">Freedom of Information request </w:t>
      </w:r>
      <w:r w:rsidR="00981CD9">
        <w:t xml:space="preserve">or </w:t>
      </w:r>
      <w:r w:rsidR="00D3142C">
        <w:t>would potentially be detrimental to the reputation of the University if it was.</w:t>
      </w:r>
      <w:r w:rsidR="00862036">
        <w:t xml:space="preserve"> What about restructure planning</w:t>
      </w:r>
      <w:r w:rsidR="00981CD9">
        <w:t>?</w:t>
      </w:r>
      <w:r w:rsidR="00862036">
        <w:t xml:space="preserve"> </w:t>
      </w:r>
      <w:r w:rsidR="00981CD9">
        <w:t>C</w:t>
      </w:r>
      <w:r w:rsidR="00862036">
        <w:t>ould this be distressing information</w:t>
      </w:r>
      <w:r w:rsidR="00EB6913">
        <w:t xml:space="preserve"> / assumptions</w:t>
      </w:r>
      <w:r w:rsidR="00862036">
        <w:t xml:space="preserve"> for the staff, if it was shared inappropriately?</w:t>
      </w:r>
      <w:r w:rsidR="00415561">
        <w:t xml:space="preserve"> You may also think about your risk </w:t>
      </w:r>
      <w:r w:rsidR="00415561">
        <w:lastRenderedPageBreak/>
        <w:t xml:space="preserve">registers, what kind of information do </w:t>
      </w:r>
      <w:r w:rsidR="00C82584">
        <w:t>they contain, would the University be put in a vulnerable situation is they were leaked</w:t>
      </w:r>
      <w:r w:rsidR="00415561">
        <w:t>?</w:t>
      </w:r>
    </w:p>
    <w:p w:rsidR="00D3142C" w:rsidRDefault="00D3142C" w:rsidP="00842DF2">
      <w:r>
        <w:t xml:space="preserve">Research, Intelligence Property, Contracts all have reasons to be treated confidentially but also have an element of criticality when it comes to </w:t>
      </w:r>
      <w:r w:rsidR="00981CD9">
        <w:t>their i</w:t>
      </w:r>
      <w:r>
        <w:t xml:space="preserve">ntegrity. We do not have a central database for contracts, specifically contracts that you manage </w:t>
      </w:r>
      <w:r w:rsidR="00244899">
        <w:t>locally</w:t>
      </w:r>
      <w:r>
        <w:t xml:space="preserve"> (</w:t>
      </w:r>
      <w:r w:rsidR="00244899">
        <w:t>this could be just</w:t>
      </w:r>
      <w:r>
        <w:t xml:space="preserve"> one person)</w:t>
      </w:r>
      <w:r w:rsidR="00244899">
        <w:t xml:space="preserve">. You will need to think resilience and business continuity; the </w:t>
      </w:r>
      <w:r w:rsidR="00DA1D5E">
        <w:t xml:space="preserve">Information Asset Register </w:t>
      </w:r>
      <w:r w:rsidR="00244899">
        <w:t xml:space="preserve">will prompt you to think about those </w:t>
      </w:r>
      <w:r w:rsidR="00677B7D">
        <w:t xml:space="preserve">research, </w:t>
      </w:r>
      <w:r w:rsidR="00244899">
        <w:t>documents</w:t>
      </w:r>
      <w:r w:rsidR="003F5D21">
        <w:t xml:space="preserve"> / datasets for example </w:t>
      </w:r>
      <w:r w:rsidR="00677B7D">
        <w:t xml:space="preserve">if an asset is </w:t>
      </w:r>
      <w:r w:rsidR="003F5D21">
        <w:t xml:space="preserve">on </w:t>
      </w:r>
      <w:r w:rsidR="00677B7D">
        <w:t>s</w:t>
      </w:r>
      <w:r w:rsidR="00F67535">
        <w:t>omeone’s</w:t>
      </w:r>
      <w:r w:rsidR="003F5D21">
        <w:t xml:space="preserve"> P: drive</w:t>
      </w:r>
      <w:r w:rsidR="00677B7D">
        <w:t>, what would happen when the person leave, will it be available to anybody else</w:t>
      </w:r>
      <w:r w:rsidR="003F5D21">
        <w:t>?</w:t>
      </w:r>
    </w:p>
    <w:p w:rsidR="003F5D21" w:rsidRDefault="003F5D21" w:rsidP="00842DF2">
      <w:r>
        <w:t xml:space="preserve">You should also consider what systems and the information they contain is valuable to your division / school in terms of timeliness. Do you have some information that if lost would be disruptive to your teams? Oracle </w:t>
      </w:r>
      <w:r w:rsidR="00981CD9">
        <w:t>F</w:t>
      </w:r>
      <w:r>
        <w:t>inancial</w:t>
      </w:r>
      <w:r w:rsidR="00981CD9">
        <w:t>s</w:t>
      </w:r>
      <w:r>
        <w:t xml:space="preserve"> is essential to </w:t>
      </w:r>
      <w:r w:rsidR="00981CD9">
        <w:t xml:space="preserve">the </w:t>
      </w:r>
      <w:r>
        <w:t>Finance</w:t>
      </w:r>
      <w:r w:rsidR="00981CD9">
        <w:t xml:space="preserve"> Directorate</w:t>
      </w:r>
      <w:r>
        <w:t>, what is essential for you? Do you own your applications / webportal / websites? Think of a downtime of 4 hours, 8 hours</w:t>
      </w:r>
      <w:r w:rsidR="00C50911">
        <w:t>, 3 days</w:t>
      </w:r>
      <w:r>
        <w:t xml:space="preserve"> and </w:t>
      </w:r>
      <w:r w:rsidR="00981CD9">
        <w:t xml:space="preserve">the </w:t>
      </w:r>
      <w:r>
        <w:t>repercussions</w:t>
      </w:r>
      <w:r w:rsidR="00C50911">
        <w:t>, in terms of operational disruption</w:t>
      </w:r>
      <w:r>
        <w:t>.</w:t>
      </w:r>
    </w:p>
    <w:p w:rsidR="00F67535" w:rsidRPr="00677B7D" w:rsidRDefault="00F67535" w:rsidP="00842DF2">
      <w:pPr>
        <w:rPr>
          <w:rFonts w:asciiTheme="majorHAnsi" w:eastAsiaTheme="majorEastAsia" w:hAnsiTheme="majorHAnsi" w:cstheme="majorBidi"/>
          <w:b/>
          <w:bCs/>
          <w:sz w:val="26"/>
          <w:szCs w:val="26"/>
        </w:rPr>
      </w:pPr>
      <w:r w:rsidRPr="00677B7D">
        <w:rPr>
          <w:rFonts w:asciiTheme="majorHAnsi" w:eastAsiaTheme="majorEastAsia" w:hAnsiTheme="majorHAnsi" w:cstheme="majorBidi"/>
          <w:b/>
          <w:bCs/>
          <w:sz w:val="26"/>
          <w:szCs w:val="26"/>
        </w:rPr>
        <w:t>Contact Details</w:t>
      </w:r>
    </w:p>
    <w:p w:rsidR="00A04548" w:rsidRPr="001438EF" w:rsidRDefault="00A04548" w:rsidP="00A04548">
      <w:pPr>
        <w:contextualSpacing/>
        <w:rPr>
          <w:rFonts w:eastAsia="SimSun"/>
          <w:bCs/>
          <w:lang w:eastAsia="zh-CN"/>
        </w:rPr>
      </w:pPr>
    </w:p>
    <w:tbl>
      <w:tblPr>
        <w:tblStyle w:val="TableGrid"/>
        <w:tblW w:w="0" w:type="auto"/>
        <w:tblLook w:val="04A0" w:firstRow="1" w:lastRow="0" w:firstColumn="1" w:lastColumn="0" w:noHBand="0" w:noVBand="1"/>
      </w:tblPr>
      <w:tblGrid>
        <w:gridCol w:w="2093"/>
        <w:gridCol w:w="1978"/>
        <w:gridCol w:w="4117"/>
        <w:gridCol w:w="1054"/>
      </w:tblGrid>
      <w:tr w:rsidR="00A04548" w:rsidTr="008F331E">
        <w:tc>
          <w:tcPr>
            <w:tcW w:w="2093" w:type="dxa"/>
            <w:shd w:val="clear" w:color="auto" w:fill="B2A1C7" w:themeFill="accent4" w:themeFillTint="99"/>
          </w:tcPr>
          <w:p w:rsidR="00A04548" w:rsidRPr="008F331E" w:rsidRDefault="00A04548" w:rsidP="00842DF2">
            <w:r w:rsidRPr="008F331E">
              <w:t>Role</w:t>
            </w:r>
          </w:p>
        </w:tc>
        <w:tc>
          <w:tcPr>
            <w:tcW w:w="1978" w:type="dxa"/>
            <w:shd w:val="clear" w:color="auto" w:fill="B2A1C7" w:themeFill="accent4" w:themeFillTint="99"/>
          </w:tcPr>
          <w:p w:rsidR="00A04548" w:rsidRPr="008F331E" w:rsidRDefault="00A04548" w:rsidP="00842DF2">
            <w:r w:rsidRPr="008F331E">
              <w:t>Name</w:t>
            </w:r>
          </w:p>
        </w:tc>
        <w:tc>
          <w:tcPr>
            <w:tcW w:w="4117" w:type="dxa"/>
            <w:shd w:val="clear" w:color="auto" w:fill="B2A1C7" w:themeFill="accent4" w:themeFillTint="99"/>
          </w:tcPr>
          <w:p w:rsidR="00A04548" w:rsidRPr="008F331E" w:rsidRDefault="00A04548" w:rsidP="00842DF2">
            <w:r w:rsidRPr="008F331E">
              <w:t>Email</w:t>
            </w:r>
          </w:p>
        </w:tc>
        <w:tc>
          <w:tcPr>
            <w:tcW w:w="1054" w:type="dxa"/>
            <w:shd w:val="clear" w:color="auto" w:fill="B2A1C7" w:themeFill="accent4" w:themeFillTint="99"/>
          </w:tcPr>
          <w:p w:rsidR="00A04548" w:rsidRPr="008F331E" w:rsidRDefault="00A04548" w:rsidP="00842DF2">
            <w:r w:rsidRPr="008F331E">
              <w:t>Phone number</w:t>
            </w:r>
          </w:p>
        </w:tc>
      </w:tr>
      <w:tr w:rsidR="00A04548" w:rsidTr="008F331E">
        <w:tc>
          <w:tcPr>
            <w:tcW w:w="2093" w:type="dxa"/>
          </w:tcPr>
          <w:p w:rsidR="00A04548" w:rsidRDefault="00A04548" w:rsidP="00842DF2">
            <w:r>
              <w:t>Information Governance Officer</w:t>
            </w:r>
          </w:p>
        </w:tc>
        <w:tc>
          <w:tcPr>
            <w:tcW w:w="1978" w:type="dxa"/>
          </w:tcPr>
          <w:p w:rsidR="00A04548" w:rsidRDefault="00A04548" w:rsidP="00842DF2">
            <w:r>
              <w:t>Laurence King</w:t>
            </w:r>
          </w:p>
        </w:tc>
        <w:tc>
          <w:tcPr>
            <w:tcW w:w="4117" w:type="dxa"/>
          </w:tcPr>
          <w:p w:rsidR="00A04548" w:rsidRDefault="00582500" w:rsidP="00842DF2">
            <w:hyperlink r:id="rId8" w:history="1">
              <w:r w:rsidR="00A04548" w:rsidRPr="00A30222">
                <w:rPr>
                  <w:rStyle w:val="Hyperlink"/>
                </w:rPr>
                <w:t>Laurence.king@manchester.ac.uk</w:t>
              </w:r>
            </w:hyperlink>
          </w:p>
        </w:tc>
        <w:tc>
          <w:tcPr>
            <w:tcW w:w="1054" w:type="dxa"/>
          </w:tcPr>
          <w:p w:rsidR="00A04548" w:rsidRDefault="001A4303" w:rsidP="00842DF2">
            <w:r>
              <w:rPr>
                <w:rFonts w:eastAsiaTheme="minorEastAsia"/>
                <w:noProof/>
                <w:sz w:val="20"/>
                <w:szCs w:val="20"/>
                <w:lang w:eastAsia="en-GB"/>
              </w:rPr>
              <w:t>62104</w:t>
            </w:r>
          </w:p>
        </w:tc>
      </w:tr>
      <w:tr w:rsidR="001A4303" w:rsidTr="008F331E">
        <w:tc>
          <w:tcPr>
            <w:tcW w:w="2093" w:type="dxa"/>
          </w:tcPr>
          <w:p w:rsidR="001A4303" w:rsidRDefault="001A4303" w:rsidP="001A4303">
            <w:pPr>
              <w:contextualSpacing/>
              <w:rPr>
                <w:rFonts w:eastAsia="SimSun"/>
                <w:bCs/>
                <w:lang w:eastAsia="zh-CN"/>
              </w:rPr>
            </w:pPr>
            <w:r>
              <w:rPr>
                <w:rFonts w:eastAsia="SimSun"/>
                <w:bCs/>
                <w:lang w:eastAsia="zh-CN"/>
              </w:rPr>
              <w:t>IGG for faculty functions</w:t>
            </w:r>
          </w:p>
        </w:tc>
        <w:tc>
          <w:tcPr>
            <w:tcW w:w="1978" w:type="dxa"/>
          </w:tcPr>
          <w:p w:rsidR="001A4303" w:rsidRDefault="001A4303" w:rsidP="00A04548">
            <w:pPr>
              <w:contextualSpacing/>
              <w:rPr>
                <w:rFonts w:eastAsia="SimSun"/>
                <w:bCs/>
                <w:lang w:eastAsia="zh-CN"/>
              </w:rPr>
            </w:pPr>
            <w:r>
              <w:rPr>
                <w:rFonts w:eastAsia="SimSun"/>
                <w:bCs/>
                <w:lang w:eastAsia="zh-CN"/>
              </w:rPr>
              <w:t>Richard Seeley</w:t>
            </w:r>
          </w:p>
        </w:tc>
        <w:tc>
          <w:tcPr>
            <w:tcW w:w="4117" w:type="dxa"/>
          </w:tcPr>
          <w:p w:rsidR="001A4303" w:rsidRDefault="00582500" w:rsidP="00842DF2">
            <w:hyperlink r:id="rId9" w:history="1">
              <w:r w:rsidR="001A4303" w:rsidRPr="004E4D0E">
                <w:rPr>
                  <w:rStyle w:val="Hyperlink"/>
                </w:rPr>
                <w:t>richard.seeley@manchester.ac.uk</w:t>
              </w:r>
            </w:hyperlink>
          </w:p>
          <w:p w:rsidR="001A4303" w:rsidRDefault="001A4303" w:rsidP="00842DF2"/>
        </w:tc>
        <w:tc>
          <w:tcPr>
            <w:tcW w:w="1054" w:type="dxa"/>
          </w:tcPr>
          <w:p w:rsidR="001A4303" w:rsidRPr="001A4303" w:rsidRDefault="001A4303" w:rsidP="00842DF2">
            <w:pPr>
              <w:rPr>
                <w:rFonts w:eastAsiaTheme="minorEastAsia"/>
                <w:noProof/>
                <w:sz w:val="20"/>
                <w:szCs w:val="20"/>
                <w:lang w:eastAsia="en-GB"/>
              </w:rPr>
            </w:pPr>
            <w:r>
              <w:rPr>
                <w:rFonts w:eastAsiaTheme="minorEastAsia"/>
                <w:noProof/>
                <w:sz w:val="20"/>
                <w:szCs w:val="20"/>
                <w:lang w:eastAsia="en-GB"/>
              </w:rPr>
              <w:t>63399</w:t>
            </w:r>
          </w:p>
        </w:tc>
      </w:tr>
      <w:tr w:rsidR="00A04548" w:rsidTr="008F331E">
        <w:tc>
          <w:tcPr>
            <w:tcW w:w="2093" w:type="dxa"/>
          </w:tcPr>
          <w:p w:rsidR="00A04548" w:rsidRDefault="00A04548" w:rsidP="001A4303">
            <w:pPr>
              <w:contextualSpacing/>
            </w:pPr>
            <w:r>
              <w:rPr>
                <w:rFonts w:eastAsia="SimSun"/>
                <w:bCs/>
                <w:lang w:eastAsia="zh-CN"/>
              </w:rPr>
              <w:t xml:space="preserve">IGG for </w:t>
            </w:r>
            <w:r w:rsidR="001A4303">
              <w:rPr>
                <w:rFonts w:eastAsia="SimSun"/>
                <w:bCs/>
                <w:lang w:eastAsia="zh-CN"/>
              </w:rPr>
              <w:t>S</w:t>
            </w:r>
            <w:r w:rsidR="00112885">
              <w:rPr>
                <w:rFonts w:eastAsia="SimSun"/>
                <w:bCs/>
                <w:lang w:eastAsia="zh-CN"/>
              </w:rPr>
              <w:t xml:space="preserve">chool of </w:t>
            </w:r>
            <w:r w:rsidR="00112885" w:rsidRPr="00112885">
              <w:rPr>
                <w:rFonts w:eastAsia="SimSun"/>
                <w:bCs/>
                <w:lang w:eastAsia="zh-CN"/>
              </w:rPr>
              <w:t>Environment, Education and Development</w:t>
            </w:r>
          </w:p>
        </w:tc>
        <w:tc>
          <w:tcPr>
            <w:tcW w:w="1978" w:type="dxa"/>
          </w:tcPr>
          <w:p w:rsidR="00112885" w:rsidRDefault="00112885" w:rsidP="00A04548">
            <w:pPr>
              <w:contextualSpacing/>
              <w:rPr>
                <w:rFonts w:eastAsia="SimSun"/>
                <w:bCs/>
                <w:lang w:eastAsia="zh-CN"/>
              </w:rPr>
            </w:pPr>
            <w:r>
              <w:rPr>
                <w:rFonts w:eastAsia="SimSun"/>
                <w:bCs/>
                <w:lang w:eastAsia="zh-CN"/>
              </w:rPr>
              <w:t>Rosie Williams</w:t>
            </w:r>
          </w:p>
          <w:p w:rsidR="00A04548" w:rsidRDefault="001A4303" w:rsidP="00A04548">
            <w:pPr>
              <w:contextualSpacing/>
              <w:rPr>
                <w:rFonts w:eastAsia="SimSun"/>
                <w:bCs/>
                <w:lang w:eastAsia="zh-CN"/>
              </w:rPr>
            </w:pPr>
            <w:r>
              <w:rPr>
                <w:rFonts w:eastAsia="SimSun"/>
                <w:bCs/>
                <w:lang w:eastAsia="zh-CN"/>
              </w:rPr>
              <w:t>Ly</w:t>
            </w:r>
            <w:r w:rsidR="00A04548">
              <w:rPr>
                <w:rFonts w:eastAsia="SimSun"/>
                <w:bCs/>
                <w:lang w:eastAsia="zh-CN"/>
              </w:rPr>
              <w:t xml:space="preserve">nda </w:t>
            </w:r>
            <w:r>
              <w:rPr>
                <w:rFonts w:eastAsia="SimSun"/>
                <w:bCs/>
                <w:lang w:eastAsia="zh-CN"/>
              </w:rPr>
              <w:t>Rowlinson</w:t>
            </w:r>
          </w:p>
          <w:p w:rsidR="00A04548" w:rsidRDefault="00A04548" w:rsidP="00842DF2"/>
        </w:tc>
        <w:tc>
          <w:tcPr>
            <w:tcW w:w="4117" w:type="dxa"/>
          </w:tcPr>
          <w:p w:rsidR="00112885" w:rsidRDefault="00582500" w:rsidP="00842DF2">
            <w:hyperlink r:id="rId10" w:history="1">
              <w:r w:rsidR="00112885" w:rsidRPr="004E4D0E">
                <w:rPr>
                  <w:rStyle w:val="Hyperlink"/>
                </w:rPr>
                <w:t>Rosie.williams@manchester.ac.uk</w:t>
              </w:r>
            </w:hyperlink>
            <w:r w:rsidR="00112885">
              <w:t xml:space="preserve"> </w:t>
            </w:r>
          </w:p>
          <w:p w:rsidR="009B5A25" w:rsidRDefault="00582500" w:rsidP="00842DF2">
            <w:hyperlink r:id="rId11" w:history="1">
              <w:r w:rsidR="001A4303" w:rsidRPr="004E4D0E">
                <w:rPr>
                  <w:rStyle w:val="Hyperlink"/>
                </w:rPr>
                <w:t>lynda.rowlinson@manchester.ac.uk</w:t>
              </w:r>
            </w:hyperlink>
          </w:p>
          <w:p w:rsidR="001A4303" w:rsidRDefault="001A4303" w:rsidP="00842DF2"/>
        </w:tc>
        <w:tc>
          <w:tcPr>
            <w:tcW w:w="1054" w:type="dxa"/>
          </w:tcPr>
          <w:p w:rsidR="00112885" w:rsidRDefault="00112885" w:rsidP="00842DF2">
            <w:pPr>
              <w:rPr>
                <w:rFonts w:eastAsiaTheme="minorEastAsia"/>
                <w:noProof/>
                <w:sz w:val="20"/>
                <w:szCs w:val="20"/>
                <w:lang w:eastAsia="en-GB"/>
              </w:rPr>
            </w:pPr>
          </w:p>
          <w:p w:rsidR="00A04548" w:rsidRDefault="001A4303" w:rsidP="00842DF2">
            <w:r w:rsidRPr="001A4303">
              <w:rPr>
                <w:rFonts w:eastAsiaTheme="minorEastAsia"/>
                <w:noProof/>
                <w:sz w:val="20"/>
                <w:szCs w:val="20"/>
                <w:lang w:eastAsia="en-GB"/>
              </w:rPr>
              <w:t>55507</w:t>
            </w:r>
          </w:p>
        </w:tc>
      </w:tr>
      <w:tr w:rsidR="00A04548" w:rsidTr="008F331E">
        <w:tc>
          <w:tcPr>
            <w:tcW w:w="2093" w:type="dxa"/>
          </w:tcPr>
          <w:p w:rsidR="00A04548" w:rsidRDefault="00A04548" w:rsidP="00842DF2">
            <w:r>
              <w:rPr>
                <w:rFonts w:eastAsia="SimSun"/>
                <w:bCs/>
                <w:lang w:eastAsia="zh-CN"/>
              </w:rPr>
              <w:t xml:space="preserve">IGG for </w:t>
            </w:r>
            <w:r w:rsidR="001A4303">
              <w:rPr>
                <w:rFonts w:eastAsia="SimSun"/>
                <w:bCs/>
                <w:lang w:eastAsia="zh-CN"/>
              </w:rPr>
              <w:t xml:space="preserve">School of </w:t>
            </w:r>
            <w:r w:rsidR="001A4303" w:rsidRPr="001A4303">
              <w:rPr>
                <w:rFonts w:eastAsia="SimSun"/>
                <w:bCs/>
                <w:lang w:eastAsia="zh-CN"/>
              </w:rPr>
              <w:t>Arts, Languages and Cultures</w:t>
            </w:r>
          </w:p>
        </w:tc>
        <w:tc>
          <w:tcPr>
            <w:tcW w:w="1978" w:type="dxa"/>
          </w:tcPr>
          <w:p w:rsidR="00A04548" w:rsidRDefault="001A4303" w:rsidP="00842DF2">
            <w:r w:rsidRPr="001A4303">
              <w:rPr>
                <w:rFonts w:eastAsia="SimSun"/>
                <w:bCs/>
                <w:lang w:eastAsia="zh-CN"/>
              </w:rPr>
              <w:t>Osen Kilic-Yildirim</w:t>
            </w:r>
          </w:p>
        </w:tc>
        <w:tc>
          <w:tcPr>
            <w:tcW w:w="4117" w:type="dxa"/>
          </w:tcPr>
          <w:p w:rsidR="009B5A25" w:rsidRDefault="00582500" w:rsidP="00842DF2">
            <w:hyperlink r:id="rId12" w:history="1">
              <w:r w:rsidR="00112885" w:rsidRPr="004E4D0E">
                <w:rPr>
                  <w:rStyle w:val="Hyperlink"/>
                </w:rPr>
                <w:t>osen.yildirim@manchester.ac.uk</w:t>
              </w:r>
            </w:hyperlink>
          </w:p>
          <w:p w:rsidR="00112885" w:rsidRDefault="00112885" w:rsidP="00842DF2"/>
        </w:tc>
        <w:tc>
          <w:tcPr>
            <w:tcW w:w="1054" w:type="dxa"/>
          </w:tcPr>
          <w:p w:rsidR="00A04548" w:rsidRDefault="00112885" w:rsidP="00842DF2">
            <w:r>
              <w:t>58968</w:t>
            </w:r>
          </w:p>
        </w:tc>
      </w:tr>
      <w:tr w:rsidR="00A04548" w:rsidTr="008F331E">
        <w:tc>
          <w:tcPr>
            <w:tcW w:w="2093" w:type="dxa"/>
          </w:tcPr>
          <w:p w:rsidR="00A04548" w:rsidRDefault="00267865" w:rsidP="001A4303">
            <w:r w:rsidRPr="001438EF">
              <w:rPr>
                <w:rFonts w:eastAsia="SimSun"/>
                <w:bCs/>
                <w:lang w:eastAsia="zh-CN"/>
              </w:rPr>
              <w:t xml:space="preserve">IGG for School of </w:t>
            </w:r>
            <w:r w:rsidR="001A4303">
              <w:rPr>
                <w:rFonts w:eastAsia="SimSun"/>
                <w:bCs/>
                <w:lang w:eastAsia="zh-CN"/>
              </w:rPr>
              <w:t>Law</w:t>
            </w:r>
          </w:p>
        </w:tc>
        <w:tc>
          <w:tcPr>
            <w:tcW w:w="1978" w:type="dxa"/>
          </w:tcPr>
          <w:p w:rsidR="00A04548" w:rsidRDefault="00112885" w:rsidP="00842DF2">
            <w:r>
              <w:rPr>
                <w:rFonts w:eastAsia="SimSun"/>
                <w:bCs/>
                <w:lang w:eastAsia="zh-CN"/>
              </w:rPr>
              <w:t>Emma Rose</w:t>
            </w:r>
          </w:p>
        </w:tc>
        <w:tc>
          <w:tcPr>
            <w:tcW w:w="4117" w:type="dxa"/>
          </w:tcPr>
          <w:p w:rsidR="00A04548" w:rsidRDefault="00582500" w:rsidP="00842DF2">
            <w:hyperlink r:id="rId13" w:history="1">
              <w:r w:rsidR="00112885" w:rsidRPr="004E4D0E">
                <w:rPr>
                  <w:rStyle w:val="Hyperlink"/>
                </w:rPr>
                <w:t>emma.rose@manchester.ac.uk</w:t>
              </w:r>
            </w:hyperlink>
          </w:p>
          <w:p w:rsidR="00112885" w:rsidRDefault="00112885" w:rsidP="00842DF2"/>
        </w:tc>
        <w:tc>
          <w:tcPr>
            <w:tcW w:w="1054" w:type="dxa"/>
          </w:tcPr>
          <w:p w:rsidR="00A04548" w:rsidRDefault="00112885" w:rsidP="00842DF2">
            <w:r>
              <w:t>57555</w:t>
            </w:r>
          </w:p>
        </w:tc>
      </w:tr>
      <w:tr w:rsidR="00A04548" w:rsidTr="008F331E">
        <w:tc>
          <w:tcPr>
            <w:tcW w:w="2093" w:type="dxa"/>
          </w:tcPr>
          <w:p w:rsidR="00A04548" w:rsidRDefault="00267865" w:rsidP="00842DF2">
            <w:r w:rsidRPr="001438EF">
              <w:rPr>
                <w:rFonts w:eastAsia="SimSun"/>
                <w:bCs/>
                <w:lang w:eastAsia="zh-CN"/>
              </w:rPr>
              <w:t xml:space="preserve">IGG for School of </w:t>
            </w:r>
            <w:r w:rsidR="00112885" w:rsidRPr="00112885">
              <w:rPr>
                <w:rFonts w:eastAsia="SimSun"/>
                <w:bCs/>
                <w:lang w:eastAsia="zh-CN"/>
              </w:rPr>
              <w:t>MBS &amp; MBS Worldwide</w:t>
            </w:r>
          </w:p>
        </w:tc>
        <w:tc>
          <w:tcPr>
            <w:tcW w:w="1978" w:type="dxa"/>
          </w:tcPr>
          <w:p w:rsidR="00A04548" w:rsidRDefault="00112885" w:rsidP="00842DF2">
            <w:r>
              <w:rPr>
                <w:rFonts w:eastAsia="SimSun"/>
                <w:bCs/>
                <w:lang w:eastAsia="zh-CN"/>
              </w:rPr>
              <w:t>Michelle Kippling</w:t>
            </w:r>
          </w:p>
        </w:tc>
        <w:tc>
          <w:tcPr>
            <w:tcW w:w="4117" w:type="dxa"/>
          </w:tcPr>
          <w:p w:rsidR="008F331E" w:rsidRDefault="00582500" w:rsidP="00842DF2">
            <w:hyperlink r:id="rId14" w:history="1">
              <w:r w:rsidR="00112885" w:rsidRPr="004E4D0E">
                <w:rPr>
                  <w:rStyle w:val="Hyperlink"/>
                </w:rPr>
                <w:t>michelle.kipling@manchester.ac.uk</w:t>
              </w:r>
            </w:hyperlink>
          </w:p>
          <w:p w:rsidR="00112885" w:rsidRDefault="00112885" w:rsidP="00842DF2"/>
        </w:tc>
        <w:tc>
          <w:tcPr>
            <w:tcW w:w="1054" w:type="dxa"/>
          </w:tcPr>
          <w:p w:rsidR="00A04548" w:rsidRDefault="00112885" w:rsidP="00842DF2">
            <w:r>
              <w:t>56546</w:t>
            </w:r>
          </w:p>
        </w:tc>
      </w:tr>
      <w:tr w:rsidR="00A04548" w:rsidTr="008F331E">
        <w:tc>
          <w:tcPr>
            <w:tcW w:w="2093" w:type="dxa"/>
          </w:tcPr>
          <w:p w:rsidR="00A04548" w:rsidRDefault="00267865" w:rsidP="00112885">
            <w:r w:rsidRPr="001438EF">
              <w:rPr>
                <w:rFonts w:eastAsia="SimSun"/>
                <w:bCs/>
                <w:lang w:eastAsia="zh-CN"/>
              </w:rPr>
              <w:t xml:space="preserve">IGG for School of </w:t>
            </w:r>
            <w:r w:rsidR="00112885">
              <w:rPr>
                <w:rFonts w:eastAsia="SimSun"/>
                <w:bCs/>
                <w:lang w:eastAsia="zh-CN"/>
              </w:rPr>
              <w:t>Social</w:t>
            </w:r>
            <w:r w:rsidRPr="001438EF">
              <w:rPr>
                <w:rFonts w:eastAsia="SimSun"/>
                <w:bCs/>
                <w:lang w:eastAsia="zh-CN"/>
              </w:rPr>
              <w:t xml:space="preserve"> Sciences</w:t>
            </w:r>
          </w:p>
        </w:tc>
        <w:tc>
          <w:tcPr>
            <w:tcW w:w="1978" w:type="dxa"/>
          </w:tcPr>
          <w:p w:rsidR="00A04548" w:rsidRDefault="00112885" w:rsidP="00842DF2">
            <w:r>
              <w:rPr>
                <w:rFonts w:eastAsia="SimSun"/>
                <w:bCs/>
                <w:lang w:eastAsia="zh-CN"/>
              </w:rPr>
              <w:t>Alison Wilson</w:t>
            </w:r>
          </w:p>
        </w:tc>
        <w:tc>
          <w:tcPr>
            <w:tcW w:w="4117" w:type="dxa"/>
          </w:tcPr>
          <w:p w:rsidR="008F331E" w:rsidRDefault="00582500" w:rsidP="00842DF2">
            <w:hyperlink r:id="rId15" w:history="1">
              <w:r w:rsidR="00112885" w:rsidRPr="004E4D0E">
                <w:rPr>
                  <w:rStyle w:val="Hyperlink"/>
                </w:rPr>
                <w:t>Alison.Wilson@manchester.ac.uk</w:t>
              </w:r>
            </w:hyperlink>
          </w:p>
          <w:p w:rsidR="00112885" w:rsidRDefault="00112885" w:rsidP="00842DF2"/>
        </w:tc>
        <w:tc>
          <w:tcPr>
            <w:tcW w:w="1054" w:type="dxa"/>
          </w:tcPr>
          <w:p w:rsidR="00A04548" w:rsidRDefault="00112885" w:rsidP="00842DF2">
            <w:r>
              <w:t>54749</w:t>
            </w:r>
          </w:p>
        </w:tc>
      </w:tr>
    </w:tbl>
    <w:p w:rsidR="00CC4DB3" w:rsidRDefault="00CC4DB3" w:rsidP="00842DF2"/>
    <w:p w:rsidR="00842DF2" w:rsidRDefault="00842DF2" w:rsidP="00842DF2"/>
    <w:p w:rsidR="00842DF2" w:rsidRDefault="00842DF2" w:rsidP="00842DF2"/>
    <w:p w:rsidR="00842DF2" w:rsidRPr="00842DF2" w:rsidRDefault="00842DF2" w:rsidP="00842DF2"/>
    <w:p w:rsidR="00AD4AAF" w:rsidRDefault="00582500"/>
    <w:sectPr w:rsidR="00AD4AA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F7" w:rsidRDefault="000C3BF7" w:rsidP="000C3BF7">
      <w:pPr>
        <w:spacing w:after="0" w:line="240" w:lineRule="auto"/>
      </w:pPr>
      <w:r>
        <w:separator/>
      </w:r>
    </w:p>
  </w:endnote>
  <w:endnote w:type="continuationSeparator" w:id="0">
    <w:p w:rsidR="000C3BF7" w:rsidRDefault="000C3BF7" w:rsidP="000C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BF7" w:rsidRPr="00014CE4" w:rsidRDefault="000C3BF7">
    <w:pPr>
      <w:pStyle w:val="Footer"/>
      <w:rPr>
        <w:sz w:val="16"/>
        <w:szCs w:val="16"/>
      </w:rPr>
    </w:pPr>
    <w:r w:rsidRPr="00014CE4">
      <w:rPr>
        <w:sz w:val="16"/>
        <w:szCs w:val="16"/>
      </w:rPr>
      <w:fldChar w:fldCharType="begin"/>
    </w:r>
    <w:r w:rsidRPr="00014CE4">
      <w:rPr>
        <w:sz w:val="16"/>
        <w:szCs w:val="16"/>
      </w:rPr>
      <w:instrText xml:space="preserve"> SAVEDATE  \@ "dd/MM/yyyy"  \* MERGEFORMAT </w:instrText>
    </w:r>
    <w:r w:rsidRPr="00014CE4">
      <w:rPr>
        <w:sz w:val="16"/>
        <w:szCs w:val="16"/>
      </w:rPr>
      <w:fldChar w:fldCharType="separate"/>
    </w:r>
    <w:r w:rsidR="00582500">
      <w:rPr>
        <w:noProof/>
        <w:sz w:val="16"/>
        <w:szCs w:val="16"/>
      </w:rPr>
      <w:t>08/05/2017</w:t>
    </w:r>
    <w:r w:rsidRPr="00014CE4">
      <w:rPr>
        <w:sz w:val="16"/>
        <w:szCs w:val="16"/>
      </w:rPr>
      <w:fldChar w:fldCharType="end"/>
    </w:r>
    <w:r w:rsidRPr="00014CE4">
      <w:rPr>
        <w:sz w:val="16"/>
        <w:szCs w:val="16"/>
      </w:rPr>
      <w:ptab w:relativeTo="margin" w:alignment="center" w:leader="none"/>
    </w:r>
    <w:r w:rsidRPr="00014CE4">
      <w:rPr>
        <w:sz w:val="16"/>
        <w:szCs w:val="16"/>
      </w:rPr>
      <w:fldChar w:fldCharType="begin"/>
    </w:r>
    <w:r w:rsidRPr="00014CE4">
      <w:rPr>
        <w:sz w:val="16"/>
        <w:szCs w:val="16"/>
      </w:rPr>
      <w:instrText xml:space="preserve"> PAGE   \* MERGEFORMAT </w:instrText>
    </w:r>
    <w:r w:rsidRPr="00014CE4">
      <w:rPr>
        <w:sz w:val="16"/>
        <w:szCs w:val="16"/>
      </w:rPr>
      <w:fldChar w:fldCharType="separate"/>
    </w:r>
    <w:r w:rsidR="00582500">
      <w:rPr>
        <w:noProof/>
        <w:sz w:val="16"/>
        <w:szCs w:val="16"/>
      </w:rPr>
      <w:t>1</w:t>
    </w:r>
    <w:r w:rsidRPr="00014CE4">
      <w:rPr>
        <w:sz w:val="16"/>
        <w:szCs w:val="16"/>
      </w:rPr>
      <w:fldChar w:fldCharType="end"/>
    </w:r>
    <w:r w:rsidRPr="00014CE4">
      <w:rPr>
        <w:sz w:val="16"/>
        <w:szCs w:val="16"/>
      </w:rPr>
      <w:t xml:space="preserve"> of </w:t>
    </w:r>
    <w:r w:rsidRPr="00014CE4">
      <w:rPr>
        <w:sz w:val="16"/>
        <w:szCs w:val="16"/>
      </w:rPr>
      <w:fldChar w:fldCharType="begin"/>
    </w:r>
    <w:r w:rsidRPr="00014CE4">
      <w:rPr>
        <w:sz w:val="16"/>
        <w:szCs w:val="16"/>
      </w:rPr>
      <w:instrText xml:space="preserve"> NUMPAGES   \* MERGEFORMAT </w:instrText>
    </w:r>
    <w:r w:rsidRPr="00014CE4">
      <w:rPr>
        <w:sz w:val="16"/>
        <w:szCs w:val="16"/>
      </w:rPr>
      <w:fldChar w:fldCharType="separate"/>
    </w:r>
    <w:r w:rsidR="00582500">
      <w:rPr>
        <w:noProof/>
        <w:sz w:val="16"/>
        <w:szCs w:val="16"/>
      </w:rPr>
      <w:t>3</w:t>
    </w:r>
    <w:r w:rsidRPr="00014CE4">
      <w:rPr>
        <w:sz w:val="16"/>
        <w:szCs w:val="16"/>
      </w:rPr>
      <w:fldChar w:fldCharType="end"/>
    </w:r>
    <w:r w:rsidRPr="00014CE4">
      <w:rPr>
        <w:sz w:val="16"/>
        <w:szCs w:val="16"/>
      </w:rPr>
      <w:ptab w:relativeTo="margin" w:alignment="right" w:leader="none"/>
    </w:r>
    <w:r w:rsidRPr="00014CE4">
      <w:rPr>
        <w:sz w:val="16"/>
        <w:szCs w:val="16"/>
      </w:rPr>
      <w:fldChar w:fldCharType="begin"/>
    </w:r>
    <w:r w:rsidRPr="00014CE4">
      <w:rPr>
        <w:sz w:val="16"/>
        <w:szCs w:val="16"/>
      </w:rPr>
      <w:instrText xml:space="preserve"> FILENAME   \* MERGEFORMAT </w:instrText>
    </w:r>
    <w:r w:rsidRPr="00014CE4">
      <w:rPr>
        <w:sz w:val="16"/>
        <w:szCs w:val="16"/>
      </w:rPr>
      <w:fldChar w:fldCharType="separate"/>
    </w:r>
    <w:r>
      <w:rPr>
        <w:noProof/>
        <w:sz w:val="16"/>
        <w:szCs w:val="16"/>
      </w:rPr>
      <w:t>Draft Guidance intended forIGGs BAF.docx</w:t>
    </w:r>
    <w:r w:rsidRPr="00014CE4">
      <w:rPr>
        <w:sz w:val="16"/>
        <w:szCs w:val="16"/>
      </w:rPr>
      <w:fldChar w:fldCharType="end"/>
    </w:r>
  </w:p>
  <w:p w:rsidR="000C3BF7" w:rsidRDefault="000C3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F7" w:rsidRDefault="000C3BF7" w:rsidP="000C3BF7">
      <w:pPr>
        <w:spacing w:after="0" w:line="240" w:lineRule="auto"/>
      </w:pPr>
      <w:r>
        <w:separator/>
      </w:r>
    </w:p>
  </w:footnote>
  <w:footnote w:type="continuationSeparator" w:id="0">
    <w:p w:rsidR="000C3BF7" w:rsidRDefault="000C3BF7" w:rsidP="000C3B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F2"/>
    <w:rsid w:val="000467ED"/>
    <w:rsid w:val="000517B7"/>
    <w:rsid w:val="00055CBD"/>
    <w:rsid w:val="000C3BF7"/>
    <w:rsid w:val="00100DF9"/>
    <w:rsid w:val="00112885"/>
    <w:rsid w:val="0014444E"/>
    <w:rsid w:val="00165B50"/>
    <w:rsid w:val="001A4303"/>
    <w:rsid w:val="00200010"/>
    <w:rsid w:val="0023604A"/>
    <w:rsid w:val="00244899"/>
    <w:rsid w:val="00267865"/>
    <w:rsid w:val="002A7853"/>
    <w:rsid w:val="002C3D8B"/>
    <w:rsid w:val="002C772E"/>
    <w:rsid w:val="00305A0F"/>
    <w:rsid w:val="0031529C"/>
    <w:rsid w:val="00322341"/>
    <w:rsid w:val="0038325B"/>
    <w:rsid w:val="003A3FB3"/>
    <w:rsid w:val="003E42F4"/>
    <w:rsid w:val="003F5D21"/>
    <w:rsid w:val="00402CE9"/>
    <w:rsid w:val="00415561"/>
    <w:rsid w:val="004349EF"/>
    <w:rsid w:val="004A634A"/>
    <w:rsid w:val="004E0BD0"/>
    <w:rsid w:val="0054143F"/>
    <w:rsid w:val="00582500"/>
    <w:rsid w:val="00583D98"/>
    <w:rsid w:val="00590E76"/>
    <w:rsid w:val="005F3104"/>
    <w:rsid w:val="005F358B"/>
    <w:rsid w:val="00631CDD"/>
    <w:rsid w:val="00637454"/>
    <w:rsid w:val="00646477"/>
    <w:rsid w:val="00677B7D"/>
    <w:rsid w:val="006C23A3"/>
    <w:rsid w:val="00730C8E"/>
    <w:rsid w:val="00752812"/>
    <w:rsid w:val="007B1B6A"/>
    <w:rsid w:val="00842DF2"/>
    <w:rsid w:val="00862036"/>
    <w:rsid w:val="0088051E"/>
    <w:rsid w:val="008974D1"/>
    <w:rsid w:val="008A533E"/>
    <w:rsid w:val="008D7C80"/>
    <w:rsid w:val="008E4EE6"/>
    <w:rsid w:val="008F331E"/>
    <w:rsid w:val="009148AB"/>
    <w:rsid w:val="00981CD9"/>
    <w:rsid w:val="009B0EA7"/>
    <w:rsid w:val="009B1CB2"/>
    <w:rsid w:val="009B5A25"/>
    <w:rsid w:val="009F76F3"/>
    <w:rsid w:val="00A04548"/>
    <w:rsid w:val="00A32138"/>
    <w:rsid w:val="00A54D32"/>
    <w:rsid w:val="00A70E16"/>
    <w:rsid w:val="00B07249"/>
    <w:rsid w:val="00BE57F5"/>
    <w:rsid w:val="00BE6BA2"/>
    <w:rsid w:val="00BF1049"/>
    <w:rsid w:val="00C50911"/>
    <w:rsid w:val="00C82584"/>
    <w:rsid w:val="00CC4DB3"/>
    <w:rsid w:val="00CE1160"/>
    <w:rsid w:val="00D05D34"/>
    <w:rsid w:val="00D3142C"/>
    <w:rsid w:val="00D86D3E"/>
    <w:rsid w:val="00D87DBA"/>
    <w:rsid w:val="00DA1D5E"/>
    <w:rsid w:val="00DF34F9"/>
    <w:rsid w:val="00E11A85"/>
    <w:rsid w:val="00E172ED"/>
    <w:rsid w:val="00E42105"/>
    <w:rsid w:val="00EB6913"/>
    <w:rsid w:val="00ED337E"/>
    <w:rsid w:val="00F26C57"/>
    <w:rsid w:val="00F67535"/>
    <w:rsid w:val="00F85D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5D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A5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2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F5D21"/>
    <w:rPr>
      <w:color w:val="0000FF" w:themeColor="hyperlink"/>
      <w:u w:val="single"/>
    </w:rPr>
  </w:style>
  <w:style w:type="character" w:customStyle="1" w:styleId="Heading2Char">
    <w:name w:val="Heading 2 Char"/>
    <w:basedOn w:val="DefaultParagraphFont"/>
    <w:link w:val="Heading2"/>
    <w:uiPriority w:val="9"/>
    <w:rsid w:val="008A533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C772E"/>
    <w:rPr>
      <w:sz w:val="16"/>
      <w:szCs w:val="16"/>
    </w:rPr>
  </w:style>
  <w:style w:type="paragraph" w:styleId="CommentText">
    <w:name w:val="annotation text"/>
    <w:basedOn w:val="Normal"/>
    <w:link w:val="CommentTextChar"/>
    <w:uiPriority w:val="99"/>
    <w:semiHidden/>
    <w:unhideWhenUsed/>
    <w:rsid w:val="002C772E"/>
    <w:pPr>
      <w:spacing w:line="240" w:lineRule="auto"/>
    </w:pPr>
    <w:rPr>
      <w:sz w:val="20"/>
      <w:szCs w:val="20"/>
    </w:rPr>
  </w:style>
  <w:style w:type="character" w:customStyle="1" w:styleId="CommentTextChar">
    <w:name w:val="Comment Text Char"/>
    <w:basedOn w:val="DefaultParagraphFont"/>
    <w:link w:val="CommentText"/>
    <w:uiPriority w:val="99"/>
    <w:semiHidden/>
    <w:rsid w:val="002C772E"/>
    <w:rPr>
      <w:sz w:val="20"/>
      <w:szCs w:val="20"/>
    </w:rPr>
  </w:style>
  <w:style w:type="paragraph" w:styleId="CommentSubject">
    <w:name w:val="annotation subject"/>
    <w:basedOn w:val="CommentText"/>
    <w:next w:val="CommentText"/>
    <w:link w:val="CommentSubjectChar"/>
    <w:uiPriority w:val="99"/>
    <w:semiHidden/>
    <w:unhideWhenUsed/>
    <w:rsid w:val="002C772E"/>
    <w:rPr>
      <w:b/>
      <w:bCs/>
    </w:rPr>
  </w:style>
  <w:style w:type="character" w:customStyle="1" w:styleId="CommentSubjectChar">
    <w:name w:val="Comment Subject Char"/>
    <w:basedOn w:val="CommentTextChar"/>
    <w:link w:val="CommentSubject"/>
    <w:uiPriority w:val="99"/>
    <w:semiHidden/>
    <w:rsid w:val="002C772E"/>
    <w:rPr>
      <w:b/>
      <w:bCs/>
      <w:sz w:val="20"/>
      <w:szCs w:val="20"/>
    </w:rPr>
  </w:style>
  <w:style w:type="paragraph" w:styleId="BalloonText">
    <w:name w:val="Balloon Text"/>
    <w:basedOn w:val="Normal"/>
    <w:link w:val="BalloonTextChar"/>
    <w:uiPriority w:val="99"/>
    <w:semiHidden/>
    <w:unhideWhenUsed/>
    <w:rsid w:val="002C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72E"/>
    <w:rPr>
      <w:rFonts w:ascii="Tahoma" w:hAnsi="Tahoma" w:cs="Tahoma"/>
      <w:sz w:val="16"/>
      <w:szCs w:val="16"/>
    </w:rPr>
  </w:style>
  <w:style w:type="character" w:styleId="FollowedHyperlink">
    <w:name w:val="FollowedHyperlink"/>
    <w:basedOn w:val="DefaultParagraphFont"/>
    <w:uiPriority w:val="99"/>
    <w:semiHidden/>
    <w:unhideWhenUsed/>
    <w:rsid w:val="00730C8E"/>
    <w:rPr>
      <w:color w:val="800080" w:themeColor="followedHyperlink"/>
      <w:u w:val="single"/>
    </w:rPr>
  </w:style>
  <w:style w:type="paragraph" w:styleId="Header">
    <w:name w:val="header"/>
    <w:basedOn w:val="Normal"/>
    <w:link w:val="HeaderChar"/>
    <w:uiPriority w:val="99"/>
    <w:unhideWhenUsed/>
    <w:rsid w:val="000C3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BF7"/>
  </w:style>
  <w:style w:type="paragraph" w:styleId="Footer">
    <w:name w:val="footer"/>
    <w:basedOn w:val="Normal"/>
    <w:link w:val="FooterChar"/>
    <w:uiPriority w:val="99"/>
    <w:unhideWhenUsed/>
    <w:rsid w:val="000C3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BF7"/>
  </w:style>
  <w:style w:type="table" w:styleId="TableGrid">
    <w:name w:val="Table Grid"/>
    <w:basedOn w:val="TableNormal"/>
    <w:uiPriority w:val="59"/>
    <w:rsid w:val="00A04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F5D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A5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2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F5D21"/>
    <w:rPr>
      <w:color w:val="0000FF" w:themeColor="hyperlink"/>
      <w:u w:val="single"/>
    </w:rPr>
  </w:style>
  <w:style w:type="character" w:customStyle="1" w:styleId="Heading2Char">
    <w:name w:val="Heading 2 Char"/>
    <w:basedOn w:val="DefaultParagraphFont"/>
    <w:link w:val="Heading2"/>
    <w:uiPriority w:val="9"/>
    <w:rsid w:val="008A533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C772E"/>
    <w:rPr>
      <w:sz w:val="16"/>
      <w:szCs w:val="16"/>
    </w:rPr>
  </w:style>
  <w:style w:type="paragraph" w:styleId="CommentText">
    <w:name w:val="annotation text"/>
    <w:basedOn w:val="Normal"/>
    <w:link w:val="CommentTextChar"/>
    <w:uiPriority w:val="99"/>
    <w:semiHidden/>
    <w:unhideWhenUsed/>
    <w:rsid w:val="002C772E"/>
    <w:pPr>
      <w:spacing w:line="240" w:lineRule="auto"/>
    </w:pPr>
    <w:rPr>
      <w:sz w:val="20"/>
      <w:szCs w:val="20"/>
    </w:rPr>
  </w:style>
  <w:style w:type="character" w:customStyle="1" w:styleId="CommentTextChar">
    <w:name w:val="Comment Text Char"/>
    <w:basedOn w:val="DefaultParagraphFont"/>
    <w:link w:val="CommentText"/>
    <w:uiPriority w:val="99"/>
    <w:semiHidden/>
    <w:rsid w:val="002C772E"/>
    <w:rPr>
      <w:sz w:val="20"/>
      <w:szCs w:val="20"/>
    </w:rPr>
  </w:style>
  <w:style w:type="paragraph" w:styleId="CommentSubject">
    <w:name w:val="annotation subject"/>
    <w:basedOn w:val="CommentText"/>
    <w:next w:val="CommentText"/>
    <w:link w:val="CommentSubjectChar"/>
    <w:uiPriority w:val="99"/>
    <w:semiHidden/>
    <w:unhideWhenUsed/>
    <w:rsid w:val="002C772E"/>
    <w:rPr>
      <w:b/>
      <w:bCs/>
    </w:rPr>
  </w:style>
  <w:style w:type="character" w:customStyle="1" w:styleId="CommentSubjectChar">
    <w:name w:val="Comment Subject Char"/>
    <w:basedOn w:val="CommentTextChar"/>
    <w:link w:val="CommentSubject"/>
    <w:uiPriority w:val="99"/>
    <w:semiHidden/>
    <w:rsid w:val="002C772E"/>
    <w:rPr>
      <w:b/>
      <w:bCs/>
      <w:sz w:val="20"/>
      <w:szCs w:val="20"/>
    </w:rPr>
  </w:style>
  <w:style w:type="paragraph" w:styleId="BalloonText">
    <w:name w:val="Balloon Text"/>
    <w:basedOn w:val="Normal"/>
    <w:link w:val="BalloonTextChar"/>
    <w:uiPriority w:val="99"/>
    <w:semiHidden/>
    <w:unhideWhenUsed/>
    <w:rsid w:val="002C7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72E"/>
    <w:rPr>
      <w:rFonts w:ascii="Tahoma" w:hAnsi="Tahoma" w:cs="Tahoma"/>
      <w:sz w:val="16"/>
      <w:szCs w:val="16"/>
    </w:rPr>
  </w:style>
  <w:style w:type="character" w:styleId="FollowedHyperlink">
    <w:name w:val="FollowedHyperlink"/>
    <w:basedOn w:val="DefaultParagraphFont"/>
    <w:uiPriority w:val="99"/>
    <w:semiHidden/>
    <w:unhideWhenUsed/>
    <w:rsid w:val="00730C8E"/>
    <w:rPr>
      <w:color w:val="800080" w:themeColor="followedHyperlink"/>
      <w:u w:val="single"/>
    </w:rPr>
  </w:style>
  <w:style w:type="paragraph" w:styleId="Header">
    <w:name w:val="header"/>
    <w:basedOn w:val="Normal"/>
    <w:link w:val="HeaderChar"/>
    <w:uiPriority w:val="99"/>
    <w:unhideWhenUsed/>
    <w:rsid w:val="000C3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BF7"/>
  </w:style>
  <w:style w:type="paragraph" w:styleId="Footer">
    <w:name w:val="footer"/>
    <w:basedOn w:val="Normal"/>
    <w:link w:val="FooterChar"/>
    <w:uiPriority w:val="99"/>
    <w:unhideWhenUsed/>
    <w:rsid w:val="000C3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BF7"/>
  </w:style>
  <w:style w:type="table" w:styleId="TableGrid">
    <w:name w:val="Table Grid"/>
    <w:basedOn w:val="TableNormal"/>
    <w:uiPriority w:val="59"/>
    <w:rsid w:val="00A04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289">
      <w:bodyDiv w:val="1"/>
      <w:marLeft w:val="0"/>
      <w:marRight w:val="0"/>
      <w:marTop w:val="0"/>
      <w:marBottom w:val="0"/>
      <w:divBdr>
        <w:top w:val="none" w:sz="0" w:space="0" w:color="auto"/>
        <w:left w:val="none" w:sz="0" w:space="0" w:color="auto"/>
        <w:bottom w:val="none" w:sz="0" w:space="0" w:color="auto"/>
        <w:right w:val="none" w:sz="0" w:space="0" w:color="auto"/>
      </w:divBdr>
    </w:div>
    <w:div w:id="8544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king@manchester.ac.uk" TargetMode="External"/><Relationship Id="rId13" Type="http://schemas.openxmlformats.org/officeDocument/2006/relationships/hyperlink" Target="mailto:emma.rose@manchester.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uments.manchester.ac.uk/DocuInfo.aspx?DocID=29971" TargetMode="External"/><Relationship Id="rId12" Type="http://schemas.openxmlformats.org/officeDocument/2006/relationships/hyperlink" Target="mailto:osen.yildirim@manchester.ac.u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lynda.rowlinson@manchester.ac.uk" TargetMode="External"/><Relationship Id="rId5" Type="http://schemas.openxmlformats.org/officeDocument/2006/relationships/footnotes" Target="footnotes.xml"/><Relationship Id="rId15" Type="http://schemas.openxmlformats.org/officeDocument/2006/relationships/hyperlink" Target="mailto:Alison.Wilson@manchester.ac.uk" TargetMode="External"/><Relationship Id="rId10" Type="http://schemas.openxmlformats.org/officeDocument/2006/relationships/hyperlink" Target="mailto:Rosie.williams@manchester.ac.uk" TargetMode="External"/><Relationship Id="rId4" Type="http://schemas.openxmlformats.org/officeDocument/2006/relationships/webSettings" Target="webSettings.xml"/><Relationship Id="rId9" Type="http://schemas.openxmlformats.org/officeDocument/2006/relationships/hyperlink" Target="mailto:richard.seeley@manchester.ac.uk" TargetMode="External"/><Relationship Id="rId14" Type="http://schemas.openxmlformats.org/officeDocument/2006/relationships/hyperlink" Target="mailto:michelle.kipling@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King</dc:creator>
  <cp:lastModifiedBy>Lynda Rowlinson</cp:lastModifiedBy>
  <cp:revision>2</cp:revision>
  <cp:lastPrinted>2017-03-14T17:29:00Z</cp:lastPrinted>
  <dcterms:created xsi:type="dcterms:W3CDTF">2017-05-09T07:37:00Z</dcterms:created>
  <dcterms:modified xsi:type="dcterms:W3CDTF">2017-05-09T07:37:00Z</dcterms:modified>
</cp:coreProperties>
</file>