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B355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0FA6A0AA" wp14:editId="066E4F43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39360" w14:textId="77777777"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14:paraId="2E49BF5D" w14:textId="78F9947F" w:rsidR="00314D50" w:rsidRPr="00B1676E" w:rsidRDefault="00314D50" w:rsidP="00314D50">
      <w:pPr>
        <w:jc w:val="center"/>
        <w:rPr>
          <w:rFonts w:ascii="Arial" w:hAnsi="Arial" w:cs="Arial"/>
          <w:b/>
        </w:rPr>
      </w:pPr>
      <w:r w:rsidRPr="00B1676E">
        <w:rPr>
          <w:rFonts w:ascii="Arial" w:hAnsi="Arial" w:cs="Arial"/>
          <w:b/>
        </w:rPr>
        <w:t>P</w:t>
      </w:r>
      <w:r w:rsidR="00E86B8B">
        <w:rPr>
          <w:rFonts w:ascii="Arial" w:hAnsi="Arial" w:cs="Arial"/>
          <w:b/>
        </w:rPr>
        <w:t>ublications Policy</w:t>
      </w:r>
    </w:p>
    <w:p w14:paraId="5E3F256E" w14:textId="77777777" w:rsidR="00314D50" w:rsidRPr="00B1676E" w:rsidRDefault="00314D50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</w:p>
    <w:p w14:paraId="378BD437" w14:textId="684F5D09" w:rsidR="00314D50" w:rsidRPr="00B1676E" w:rsidRDefault="00B8351C" w:rsidP="122079A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122079A5">
        <w:rPr>
          <w:rFonts w:ascii="Arial" w:hAnsi="Arial" w:cs="Arial"/>
          <w:sz w:val="22"/>
          <w:szCs w:val="22"/>
        </w:rPr>
        <w:t xml:space="preserve">If you are reading a printed version of this document, you should check </w:t>
      </w:r>
      <w:r w:rsidR="4E8836FE" w:rsidRPr="122079A5">
        <w:rPr>
          <w:rFonts w:ascii="Arial" w:hAnsi="Arial" w:cs="Arial"/>
          <w:sz w:val="22"/>
          <w:szCs w:val="22"/>
        </w:rPr>
        <w:t>[</w:t>
      </w:r>
      <w:hyperlink r:id="rId9" w:history="1">
        <w:r w:rsidR="00D668C1" w:rsidRPr="00D668C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4E8836FE" w:rsidRPr="122079A5">
        <w:rPr>
          <w:rFonts w:ascii="Arial" w:hAnsi="Arial" w:cs="Arial"/>
          <w:sz w:val="22"/>
          <w:szCs w:val="22"/>
        </w:rPr>
        <w:t xml:space="preserve">] </w:t>
      </w:r>
      <w:r w:rsidRPr="122079A5">
        <w:rPr>
          <w:rFonts w:ascii="Arial" w:hAnsi="Arial" w:cs="Arial"/>
          <w:sz w:val="22"/>
          <w:szCs w:val="22"/>
        </w:rPr>
        <w:t>to ensure you have the most up to date version.</w:t>
      </w:r>
    </w:p>
    <w:p w14:paraId="4236A875" w14:textId="77777777" w:rsidR="00936BCA" w:rsidRPr="00B1676E" w:rsidRDefault="00936BCA" w:rsidP="005250A6">
      <w:pPr>
        <w:jc w:val="both"/>
        <w:rPr>
          <w:rFonts w:ascii="Arial" w:hAnsi="Arial" w:cs="Arial"/>
          <w:b/>
          <w:sz w:val="28"/>
          <w:szCs w:val="28"/>
        </w:rPr>
      </w:pPr>
    </w:p>
    <w:p w14:paraId="45E97129" w14:textId="427F0BD0" w:rsidR="007358B9" w:rsidRPr="00A1552A" w:rsidRDefault="00896452" w:rsidP="005250A6">
      <w:pPr>
        <w:pStyle w:val="ListParagraph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A1552A">
        <w:rPr>
          <w:rFonts w:ascii="Arial" w:hAnsi="Arial" w:cs="Arial"/>
          <w:b/>
          <w:lang w:val="en-GB"/>
        </w:rPr>
        <w:t xml:space="preserve">Introduction </w:t>
      </w:r>
      <w:r w:rsidR="00493D86" w:rsidRPr="00A1552A">
        <w:rPr>
          <w:rFonts w:ascii="Arial" w:hAnsi="Arial" w:cs="Arial"/>
          <w:b/>
          <w:lang w:val="en-GB"/>
        </w:rPr>
        <w:t>and Purpose</w:t>
      </w:r>
    </w:p>
    <w:p w14:paraId="74AE03F5" w14:textId="6E758B95" w:rsidR="0060014B" w:rsidRDefault="00E739A1" w:rsidP="00763F4C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906E07">
        <w:rPr>
          <w:rFonts w:ascii="Arial" w:hAnsi="Arial" w:cs="Arial"/>
          <w:sz w:val="22"/>
          <w:szCs w:val="22"/>
        </w:rPr>
        <w:t xml:space="preserve">The University is committed to developing a more open and responsible research environment. In keeping with that commitment, and in response to increasing </w:t>
      </w:r>
      <w:r w:rsidR="0030581C" w:rsidRPr="00906E07">
        <w:rPr>
          <w:rFonts w:ascii="Arial" w:hAnsi="Arial" w:cs="Arial"/>
          <w:sz w:val="22"/>
          <w:szCs w:val="22"/>
        </w:rPr>
        <w:t xml:space="preserve">mandatory </w:t>
      </w:r>
      <w:r w:rsidRPr="00906E07">
        <w:rPr>
          <w:rFonts w:ascii="Arial" w:hAnsi="Arial" w:cs="Arial"/>
          <w:sz w:val="22"/>
          <w:szCs w:val="22"/>
        </w:rPr>
        <w:t>requirements from major research funding bodies that peer-reviewed versions of journal articles and conference proceedings with an International Standard Serial Number (</w:t>
      </w:r>
      <w:r w:rsidRPr="00FB0BC9">
        <w:rPr>
          <w:rFonts w:ascii="Arial" w:hAnsi="Arial" w:cs="Arial"/>
          <w:sz w:val="22"/>
          <w:szCs w:val="22"/>
        </w:rPr>
        <w:t>“</w:t>
      </w:r>
      <w:r w:rsidRPr="00906E07">
        <w:rPr>
          <w:rFonts w:ascii="Arial" w:hAnsi="Arial" w:cs="Arial"/>
          <w:b/>
          <w:bCs/>
          <w:sz w:val="22"/>
          <w:szCs w:val="22"/>
        </w:rPr>
        <w:t>Relevant Works</w:t>
      </w:r>
      <w:r w:rsidRPr="00FB0BC9">
        <w:rPr>
          <w:rFonts w:ascii="Arial" w:hAnsi="Arial" w:cs="Arial"/>
          <w:sz w:val="22"/>
          <w:szCs w:val="22"/>
        </w:rPr>
        <w:t>”</w:t>
      </w:r>
      <w:r w:rsidRPr="00906E07">
        <w:rPr>
          <w:rFonts w:ascii="Arial" w:hAnsi="Arial" w:cs="Arial"/>
          <w:sz w:val="22"/>
          <w:szCs w:val="22"/>
        </w:rPr>
        <w:t xml:space="preserve">) are made freely available on publication, the University has adopted this </w:t>
      </w:r>
      <w:r w:rsidR="007565B6">
        <w:rPr>
          <w:rFonts w:ascii="Arial" w:hAnsi="Arial" w:cs="Arial"/>
          <w:sz w:val="22"/>
          <w:szCs w:val="22"/>
        </w:rPr>
        <w:t>P</w:t>
      </w:r>
      <w:r w:rsidRPr="00906E07">
        <w:rPr>
          <w:rFonts w:ascii="Arial" w:hAnsi="Arial" w:cs="Arial"/>
          <w:sz w:val="22"/>
          <w:szCs w:val="22"/>
        </w:rPr>
        <w:t>olicy.</w:t>
      </w:r>
    </w:p>
    <w:p w14:paraId="1CF64A18" w14:textId="77777777" w:rsidR="004A3C83" w:rsidRDefault="004A3C83" w:rsidP="005250A6">
      <w:pPr>
        <w:pStyle w:val="ListParagraph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59A04432" w14:textId="6CE736A3" w:rsidR="00F53C94" w:rsidRDefault="00BC4FAC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60014B">
        <w:rPr>
          <w:rFonts w:ascii="Arial" w:hAnsi="Arial" w:cs="Arial"/>
          <w:sz w:val="22"/>
          <w:szCs w:val="22"/>
        </w:rPr>
        <w:t xml:space="preserve">The University must comply with the requirements of funding bodies as failure to do so may </w:t>
      </w:r>
      <w:r w:rsidR="00C2233D">
        <w:rPr>
          <w:rFonts w:ascii="Arial" w:hAnsi="Arial" w:cs="Arial"/>
          <w:sz w:val="22"/>
          <w:szCs w:val="22"/>
        </w:rPr>
        <w:t>(</w:t>
      </w:r>
      <w:r w:rsidRPr="0060014B">
        <w:rPr>
          <w:rFonts w:ascii="Arial" w:hAnsi="Arial" w:cs="Arial"/>
          <w:sz w:val="22"/>
          <w:szCs w:val="22"/>
        </w:rPr>
        <w:t>amongst other things</w:t>
      </w:r>
      <w:r w:rsidR="00C2233D">
        <w:rPr>
          <w:rFonts w:ascii="Arial" w:hAnsi="Arial" w:cs="Arial"/>
          <w:sz w:val="22"/>
          <w:szCs w:val="22"/>
        </w:rPr>
        <w:t>)</w:t>
      </w:r>
      <w:r w:rsidRPr="0060014B">
        <w:rPr>
          <w:rFonts w:ascii="Arial" w:hAnsi="Arial" w:cs="Arial"/>
          <w:sz w:val="22"/>
          <w:szCs w:val="22"/>
        </w:rPr>
        <w:t>:</w:t>
      </w:r>
    </w:p>
    <w:p w14:paraId="746511D8" w14:textId="77777777" w:rsidR="00F53C94" w:rsidRPr="00F53C94" w:rsidRDefault="00F53C94" w:rsidP="005250A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CF1E761" w14:textId="21F77333" w:rsidR="00F53C94" w:rsidRDefault="00BC4FAC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F53C94">
        <w:rPr>
          <w:rFonts w:ascii="Arial" w:hAnsi="Arial" w:cs="Arial"/>
          <w:sz w:val="22"/>
          <w:szCs w:val="22"/>
        </w:rPr>
        <w:t xml:space="preserve">make </w:t>
      </w:r>
      <w:r w:rsidRPr="00623378">
        <w:rPr>
          <w:rFonts w:ascii="Arial" w:hAnsi="Arial" w:cs="Arial"/>
          <w:sz w:val="22"/>
          <w:szCs w:val="22"/>
        </w:rPr>
        <w:t>Relevant Works ineligible</w:t>
      </w:r>
      <w:r w:rsidRPr="00F53C94">
        <w:rPr>
          <w:rFonts w:ascii="Arial" w:hAnsi="Arial" w:cs="Arial"/>
          <w:sz w:val="22"/>
          <w:szCs w:val="22"/>
        </w:rPr>
        <w:t xml:space="preserve"> for submission to the REF; and</w:t>
      </w:r>
      <w:r w:rsidR="006E3F13">
        <w:rPr>
          <w:rFonts w:ascii="Arial" w:hAnsi="Arial" w:cs="Arial"/>
          <w:sz w:val="22"/>
          <w:szCs w:val="22"/>
        </w:rPr>
        <w:t>/or</w:t>
      </w:r>
    </w:p>
    <w:p w14:paraId="3BF1107D" w14:textId="77777777" w:rsidR="00FB0BC9" w:rsidRDefault="00FB0BC9" w:rsidP="00FB0BC9">
      <w:pPr>
        <w:pStyle w:val="ListParagraph"/>
        <w:tabs>
          <w:tab w:val="left" w:pos="426"/>
        </w:tabs>
        <w:ind w:left="1792"/>
        <w:jc w:val="both"/>
        <w:rPr>
          <w:rFonts w:ascii="Arial" w:hAnsi="Arial" w:cs="Arial"/>
          <w:sz w:val="22"/>
          <w:szCs w:val="22"/>
        </w:rPr>
      </w:pPr>
    </w:p>
    <w:p w14:paraId="547C85A2" w14:textId="5A898623" w:rsidR="00F53C94" w:rsidRDefault="00BC4FAC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F53C94">
        <w:rPr>
          <w:rFonts w:ascii="Arial" w:hAnsi="Arial" w:cs="Arial"/>
          <w:sz w:val="22"/>
          <w:szCs w:val="22"/>
        </w:rPr>
        <w:t>impact on the receipt of funding from funding bodies.</w:t>
      </w:r>
    </w:p>
    <w:p w14:paraId="481F7A28" w14:textId="77777777" w:rsidR="00F53C94" w:rsidRPr="00F53C94" w:rsidRDefault="00F53C94" w:rsidP="005250A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E5DB734" w14:textId="69D21255" w:rsidR="00027D19" w:rsidRDefault="00CF50A8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B0AF6" w:rsidRPr="00F53C94">
        <w:rPr>
          <w:rFonts w:ascii="Arial" w:hAnsi="Arial" w:cs="Arial"/>
          <w:sz w:val="22"/>
          <w:szCs w:val="22"/>
        </w:rPr>
        <w:t xml:space="preserve"> purpose of this </w:t>
      </w:r>
      <w:r w:rsidR="007565B6">
        <w:rPr>
          <w:rFonts w:ascii="Arial" w:hAnsi="Arial" w:cs="Arial"/>
          <w:sz w:val="22"/>
          <w:szCs w:val="22"/>
        </w:rPr>
        <w:t>P</w:t>
      </w:r>
      <w:r w:rsidR="003B0AF6" w:rsidRPr="00F53C94">
        <w:rPr>
          <w:rFonts w:ascii="Arial" w:hAnsi="Arial" w:cs="Arial"/>
          <w:sz w:val="22"/>
          <w:szCs w:val="22"/>
        </w:rPr>
        <w:t>olicy is to:</w:t>
      </w:r>
    </w:p>
    <w:p w14:paraId="45E9157D" w14:textId="77777777" w:rsidR="00027D19" w:rsidRDefault="00027D19" w:rsidP="005250A6">
      <w:pPr>
        <w:pStyle w:val="ListParagraph"/>
        <w:tabs>
          <w:tab w:val="left" w:pos="426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0BE35535" w14:textId="0C74076A" w:rsidR="00027D19" w:rsidRDefault="003B0AF6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F53C94">
        <w:rPr>
          <w:rFonts w:ascii="Arial" w:hAnsi="Arial" w:cs="Arial"/>
          <w:sz w:val="22"/>
          <w:szCs w:val="22"/>
        </w:rPr>
        <w:t>support all</w:t>
      </w:r>
      <w:r w:rsidR="00734175">
        <w:rPr>
          <w:rFonts w:ascii="Arial" w:hAnsi="Arial" w:cs="Arial"/>
          <w:sz w:val="22"/>
          <w:szCs w:val="22"/>
        </w:rPr>
        <w:t xml:space="preserve"> University </w:t>
      </w:r>
      <w:r w:rsidRPr="00F53C94">
        <w:rPr>
          <w:rFonts w:ascii="Arial" w:hAnsi="Arial" w:cs="Arial"/>
          <w:sz w:val="22"/>
          <w:szCs w:val="22"/>
        </w:rPr>
        <w:t>employees (</w:t>
      </w:r>
      <w:r w:rsidRPr="00FB0BC9">
        <w:rPr>
          <w:rFonts w:ascii="Arial" w:hAnsi="Arial" w:cs="Arial"/>
          <w:sz w:val="22"/>
          <w:szCs w:val="22"/>
        </w:rPr>
        <w:t>“</w:t>
      </w:r>
      <w:r w:rsidRPr="00F53C94">
        <w:rPr>
          <w:rFonts w:ascii="Arial" w:hAnsi="Arial" w:cs="Arial"/>
          <w:b/>
          <w:bCs/>
          <w:sz w:val="22"/>
          <w:szCs w:val="22"/>
        </w:rPr>
        <w:t>Employees</w:t>
      </w:r>
      <w:r w:rsidRPr="00FB0BC9">
        <w:rPr>
          <w:rFonts w:ascii="Arial" w:hAnsi="Arial" w:cs="Arial"/>
          <w:sz w:val="22"/>
          <w:szCs w:val="22"/>
        </w:rPr>
        <w:t>”</w:t>
      </w:r>
      <w:r w:rsidRPr="00F53C94">
        <w:rPr>
          <w:rFonts w:ascii="Arial" w:hAnsi="Arial" w:cs="Arial"/>
          <w:sz w:val="22"/>
          <w:szCs w:val="22"/>
        </w:rPr>
        <w:t xml:space="preserve">) and </w:t>
      </w:r>
      <w:r w:rsidR="006E3F13">
        <w:rPr>
          <w:rFonts w:ascii="Arial" w:hAnsi="Arial" w:cs="Arial"/>
          <w:sz w:val="22"/>
          <w:szCs w:val="22"/>
        </w:rPr>
        <w:t xml:space="preserve">University </w:t>
      </w:r>
      <w:r w:rsidRPr="00F53C94">
        <w:rPr>
          <w:rFonts w:ascii="Arial" w:hAnsi="Arial" w:cs="Arial"/>
          <w:sz w:val="22"/>
          <w:szCs w:val="22"/>
        </w:rPr>
        <w:t>students (</w:t>
      </w:r>
      <w:r w:rsidRPr="00734175">
        <w:rPr>
          <w:rFonts w:ascii="Arial" w:hAnsi="Arial" w:cs="Arial"/>
          <w:sz w:val="22"/>
          <w:szCs w:val="22"/>
        </w:rPr>
        <w:t>“</w:t>
      </w:r>
      <w:r w:rsidRPr="00F53C94">
        <w:rPr>
          <w:rFonts w:ascii="Arial" w:hAnsi="Arial" w:cs="Arial"/>
          <w:b/>
          <w:bCs/>
          <w:sz w:val="22"/>
          <w:szCs w:val="22"/>
        </w:rPr>
        <w:t>Students</w:t>
      </w:r>
      <w:r w:rsidRPr="00734175">
        <w:rPr>
          <w:rFonts w:ascii="Arial" w:hAnsi="Arial" w:cs="Arial"/>
          <w:sz w:val="22"/>
          <w:szCs w:val="22"/>
        </w:rPr>
        <w:t>”</w:t>
      </w:r>
      <w:r w:rsidRPr="00F53C94">
        <w:rPr>
          <w:rFonts w:ascii="Arial" w:hAnsi="Arial" w:cs="Arial"/>
          <w:sz w:val="22"/>
          <w:szCs w:val="22"/>
        </w:rPr>
        <w:t>) in disseminat</w:t>
      </w:r>
      <w:r w:rsidR="008F78A9" w:rsidRPr="00F53C94">
        <w:rPr>
          <w:rFonts w:ascii="Arial" w:hAnsi="Arial" w:cs="Arial"/>
          <w:sz w:val="22"/>
          <w:szCs w:val="22"/>
        </w:rPr>
        <w:t>ing</w:t>
      </w:r>
      <w:r w:rsidRPr="00F53C94">
        <w:rPr>
          <w:rFonts w:ascii="Arial" w:hAnsi="Arial" w:cs="Arial"/>
          <w:sz w:val="22"/>
          <w:szCs w:val="22"/>
        </w:rPr>
        <w:t xml:space="preserve"> their research as widely as possible, in a journal of their choice;</w:t>
      </w:r>
      <w:r w:rsidR="00F53C94">
        <w:rPr>
          <w:rFonts w:ascii="Arial" w:hAnsi="Arial" w:cs="Arial"/>
          <w:sz w:val="22"/>
          <w:szCs w:val="22"/>
        </w:rPr>
        <w:t xml:space="preserve"> </w:t>
      </w:r>
    </w:p>
    <w:p w14:paraId="5BAB827A" w14:textId="77777777" w:rsidR="00734175" w:rsidRDefault="00734175" w:rsidP="00734175">
      <w:pPr>
        <w:pStyle w:val="ListParagraph"/>
        <w:tabs>
          <w:tab w:val="left" w:pos="426"/>
        </w:tabs>
        <w:ind w:left="1792"/>
        <w:jc w:val="both"/>
        <w:rPr>
          <w:rFonts w:ascii="Arial" w:hAnsi="Arial" w:cs="Arial"/>
          <w:sz w:val="22"/>
          <w:szCs w:val="22"/>
        </w:rPr>
      </w:pPr>
    </w:p>
    <w:p w14:paraId="1BABE12A" w14:textId="05562615" w:rsidR="00027D19" w:rsidRDefault="007565B6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</w:t>
      </w:r>
      <w:r w:rsidR="003B0AF6" w:rsidRPr="00F53C94">
        <w:rPr>
          <w:rFonts w:ascii="Arial" w:hAnsi="Arial" w:cs="Arial"/>
          <w:sz w:val="22"/>
          <w:szCs w:val="22"/>
        </w:rPr>
        <w:t xml:space="preserve"> the University’s position on making </w:t>
      </w:r>
      <w:r w:rsidR="003B0AF6" w:rsidRPr="00623378">
        <w:rPr>
          <w:rFonts w:ascii="Arial" w:hAnsi="Arial" w:cs="Arial"/>
          <w:sz w:val="22"/>
          <w:szCs w:val="22"/>
        </w:rPr>
        <w:t>Relevant Works open</w:t>
      </w:r>
      <w:r w:rsidR="003B0AF6" w:rsidRPr="00F53C94">
        <w:rPr>
          <w:rFonts w:ascii="Arial" w:hAnsi="Arial" w:cs="Arial"/>
          <w:sz w:val="22"/>
          <w:szCs w:val="22"/>
        </w:rPr>
        <w:t xml:space="preserve"> access; </w:t>
      </w:r>
      <w:r w:rsidR="00D81318">
        <w:rPr>
          <w:rFonts w:ascii="Arial" w:hAnsi="Arial" w:cs="Arial"/>
          <w:sz w:val="22"/>
          <w:szCs w:val="22"/>
        </w:rPr>
        <w:t>and</w:t>
      </w:r>
    </w:p>
    <w:p w14:paraId="7E6540B0" w14:textId="77777777" w:rsidR="00734175" w:rsidRPr="00734175" w:rsidRDefault="00734175" w:rsidP="00734175">
      <w:pPr>
        <w:pStyle w:val="ListParagraph"/>
        <w:rPr>
          <w:rFonts w:ascii="Arial" w:hAnsi="Arial" w:cs="Arial"/>
          <w:sz w:val="22"/>
          <w:szCs w:val="22"/>
        </w:rPr>
      </w:pPr>
    </w:p>
    <w:p w14:paraId="30BF6FC2" w14:textId="47C85B84" w:rsidR="00F53C94" w:rsidRDefault="003B0AF6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F53C94">
        <w:rPr>
          <w:rFonts w:ascii="Arial" w:hAnsi="Arial" w:cs="Arial"/>
          <w:sz w:val="22"/>
          <w:szCs w:val="22"/>
        </w:rPr>
        <w:t xml:space="preserve">ensure that all those to whom this Policy applies (see section </w:t>
      </w:r>
      <w:r w:rsidR="004C7C46">
        <w:rPr>
          <w:rFonts w:ascii="Arial" w:hAnsi="Arial" w:cs="Arial"/>
          <w:sz w:val="22"/>
          <w:szCs w:val="22"/>
        </w:rPr>
        <w:fldChar w:fldCharType="begin"/>
      </w:r>
      <w:r w:rsidR="004C7C46">
        <w:rPr>
          <w:rFonts w:ascii="Arial" w:hAnsi="Arial" w:cs="Arial"/>
          <w:sz w:val="22"/>
          <w:szCs w:val="22"/>
        </w:rPr>
        <w:instrText xml:space="preserve"> REF _Ref116298717 \r \h </w:instrText>
      </w:r>
      <w:r w:rsidR="004C7C46">
        <w:rPr>
          <w:rFonts w:ascii="Arial" w:hAnsi="Arial" w:cs="Arial"/>
          <w:sz w:val="22"/>
          <w:szCs w:val="22"/>
        </w:rPr>
      </w:r>
      <w:r w:rsidR="004C7C46">
        <w:rPr>
          <w:rFonts w:ascii="Arial" w:hAnsi="Arial" w:cs="Arial"/>
          <w:sz w:val="22"/>
          <w:szCs w:val="22"/>
        </w:rPr>
        <w:fldChar w:fldCharType="separate"/>
      </w:r>
      <w:r w:rsidR="00774F26">
        <w:rPr>
          <w:rFonts w:ascii="Arial" w:hAnsi="Arial" w:cs="Arial"/>
          <w:sz w:val="22"/>
          <w:szCs w:val="22"/>
        </w:rPr>
        <w:t>2</w:t>
      </w:r>
      <w:r w:rsidR="004C7C46">
        <w:rPr>
          <w:rFonts w:ascii="Arial" w:hAnsi="Arial" w:cs="Arial"/>
          <w:sz w:val="22"/>
          <w:szCs w:val="22"/>
        </w:rPr>
        <w:fldChar w:fldCharType="end"/>
      </w:r>
      <w:r w:rsidRPr="00F53C94">
        <w:rPr>
          <w:rFonts w:ascii="Arial" w:hAnsi="Arial" w:cs="Arial"/>
          <w:sz w:val="22"/>
          <w:szCs w:val="22"/>
        </w:rPr>
        <w:t xml:space="preserve"> below) are aware of their rights and responsibilities in ensuring compliance with requirements on open access.</w:t>
      </w:r>
    </w:p>
    <w:p w14:paraId="3B2F27CA" w14:textId="77777777" w:rsidR="00F53C94" w:rsidRPr="00F53C94" w:rsidRDefault="00F53C94" w:rsidP="005250A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6ED97A4" w14:textId="36FC2DC9" w:rsidR="0095151B" w:rsidRPr="00F53C94" w:rsidRDefault="00B36CF4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F53C94">
        <w:rPr>
          <w:rFonts w:ascii="Arial" w:hAnsi="Arial" w:cs="Arial"/>
          <w:sz w:val="22"/>
          <w:szCs w:val="22"/>
        </w:rPr>
        <w:t xml:space="preserve">Whilst this </w:t>
      </w:r>
      <w:r w:rsidR="007565B6">
        <w:rPr>
          <w:rFonts w:ascii="Arial" w:hAnsi="Arial" w:cs="Arial"/>
          <w:sz w:val="22"/>
          <w:szCs w:val="22"/>
        </w:rPr>
        <w:t>P</w:t>
      </w:r>
      <w:r w:rsidRPr="00F53C94">
        <w:rPr>
          <w:rFonts w:ascii="Arial" w:hAnsi="Arial" w:cs="Arial"/>
          <w:sz w:val="22"/>
          <w:szCs w:val="22"/>
        </w:rPr>
        <w:t xml:space="preserve">olicy does not apply to outputs </w:t>
      </w:r>
      <w:r w:rsidR="004C7C46">
        <w:rPr>
          <w:rFonts w:ascii="Arial" w:hAnsi="Arial" w:cs="Arial"/>
          <w:sz w:val="22"/>
          <w:szCs w:val="22"/>
        </w:rPr>
        <w:t xml:space="preserve">which fall </w:t>
      </w:r>
      <w:r w:rsidRPr="00F53C94">
        <w:rPr>
          <w:rFonts w:ascii="Arial" w:hAnsi="Arial" w:cs="Arial"/>
          <w:sz w:val="22"/>
          <w:szCs w:val="22"/>
        </w:rPr>
        <w:t xml:space="preserve">outside the definition </w:t>
      </w:r>
      <w:r w:rsidRPr="00623378">
        <w:rPr>
          <w:rFonts w:ascii="Arial" w:hAnsi="Arial" w:cs="Arial"/>
          <w:sz w:val="22"/>
          <w:szCs w:val="22"/>
        </w:rPr>
        <w:t>of Relevant Works, (</w:t>
      </w:r>
      <w:r w:rsidR="009C3412" w:rsidRPr="00F53C94">
        <w:rPr>
          <w:rFonts w:ascii="Arial" w:hAnsi="Arial" w:cs="Arial"/>
          <w:sz w:val="22"/>
          <w:szCs w:val="22"/>
        </w:rPr>
        <w:t>e.g.,</w:t>
      </w:r>
      <w:r w:rsidRPr="00F53C94">
        <w:rPr>
          <w:rFonts w:ascii="Arial" w:hAnsi="Arial" w:cs="Arial"/>
          <w:sz w:val="22"/>
          <w:szCs w:val="22"/>
        </w:rPr>
        <w:t xml:space="preserve"> books, chapters, analysis code, research methodology) the University strongly encourages researchers to make any such works as openly available as possible in line with our </w:t>
      </w:r>
      <w:hyperlink r:id="rId10" w:history="1">
        <w:r w:rsidRPr="00F53C94">
          <w:rPr>
            <w:rStyle w:val="Hyperlink"/>
            <w:rFonts w:ascii="Arial" w:hAnsi="Arial" w:cs="Arial"/>
            <w:sz w:val="22"/>
            <w:szCs w:val="22"/>
          </w:rPr>
          <w:t>Position Statement on Open Research</w:t>
        </w:r>
      </w:hyperlink>
      <w:r w:rsidRPr="00F53C94">
        <w:rPr>
          <w:rFonts w:ascii="Arial" w:hAnsi="Arial" w:cs="Arial"/>
          <w:sz w:val="22"/>
          <w:szCs w:val="22"/>
        </w:rPr>
        <w:t>.</w:t>
      </w:r>
      <w:r w:rsidR="00525E7E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022C10D9" w14:textId="77777777" w:rsidR="0095151B" w:rsidRPr="00B1676E" w:rsidRDefault="0095151B" w:rsidP="00525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3B6ACE" w14:textId="77777777" w:rsidR="00CF50A8" w:rsidRDefault="007358B9" w:rsidP="005250A6">
      <w:pPr>
        <w:pStyle w:val="ListParagraph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  <w:b/>
        </w:rPr>
      </w:pPr>
      <w:bookmarkStart w:id="0" w:name="_Ref116298717"/>
      <w:r w:rsidRPr="003D7C6C">
        <w:rPr>
          <w:rFonts w:ascii="Arial" w:hAnsi="Arial" w:cs="Arial"/>
          <w:b/>
        </w:rPr>
        <w:t>Scope</w:t>
      </w:r>
      <w:r w:rsidR="00F1252A" w:rsidRPr="003D7C6C">
        <w:rPr>
          <w:rFonts w:ascii="Arial" w:hAnsi="Arial" w:cs="Arial"/>
          <w:b/>
        </w:rPr>
        <w:t xml:space="preserve"> and definitions</w:t>
      </w:r>
      <w:bookmarkEnd w:id="0"/>
    </w:p>
    <w:p w14:paraId="4FC6412F" w14:textId="210CE1A4" w:rsidR="006D0443" w:rsidRPr="006D12CB" w:rsidRDefault="00EB64A3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r w:rsidRPr="00CF50A8">
        <w:rPr>
          <w:rFonts w:ascii="Arial" w:hAnsi="Arial" w:cs="Arial"/>
          <w:sz w:val="22"/>
          <w:szCs w:val="22"/>
        </w:rPr>
        <w:t xml:space="preserve">This </w:t>
      </w:r>
      <w:r w:rsidR="007565B6">
        <w:rPr>
          <w:rFonts w:ascii="Arial" w:hAnsi="Arial" w:cs="Arial"/>
          <w:sz w:val="22"/>
          <w:szCs w:val="22"/>
        </w:rPr>
        <w:t>P</w:t>
      </w:r>
      <w:r w:rsidRPr="00CF50A8">
        <w:rPr>
          <w:rFonts w:ascii="Arial" w:hAnsi="Arial" w:cs="Arial"/>
          <w:sz w:val="22"/>
          <w:szCs w:val="22"/>
        </w:rPr>
        <w:t>olicy applies to all:</w:t>
      </w:r>
    </w:p>
    <w:p w14:paraId="61083967" w14:textId="77777777" w:rsidR="006D12CB" w:rsidRPr="006D0443" w:rsidRDefault="006D12CB" w:rsidP="006D12CB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b/>
        </w:rPr>
      </w:pPr>
    </w:p>
    <w:p w14:paraId="7EC8B5F6" w14:textId="5F2313E8" w:rsidR="009A5867" w:rsidRPr="00436180" w:rsidRDefault="00FA5D7F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</w:rPr>
      </w:pPr>
      <w:r w:rsidRPr="00623378">
        <w:rPr>
          <w:rFonts w:ascii="Arial" w:hAnsi="Arial" w:cs="Arial"/>
          <w:sz w:val="22"/>
          <w:szCs w:val="22"/>
        </w:rPr>
        <w:t>E</w:t>
      </w:r>
      <w:r w:rsidR="00EB64A3" w:rsidRPr="00623378">
        <w:rPr>
          <w:rFonts w:ascii="Arial" w:hAnsi="Arial" w:cs="Arial"/>
          <w:sz w:val="22"/>
          <w:szCs w:val="22"/>
        </w:rPr>
        <w:t>mployees and Student</w:t>
      </w:r>
      <w:r w:rsidRPr="00623378">
        <w:rPr>
          <w:rFonts w:ascii="Arial" w:hAnsi="Arial" w:cs="Arial"/>
          <w:sz w:val="22"/>
          <w:szCs w:val="22"/>
        </w:rPr>
        <w:t>s</w:t>
      </w:r>
      <w:r w:rsidR="00374B39" w:rsidRPr="00623378">
        <w:rPr>
          <w:rFonts w:ascii="Arial" w:hAnsi="Arial" w:cs="Arial"/>
          <w:sz w:val="22"/>
          <w:szCs w:val="22"/>
        </w:rPr>
        <w:t>,</w:t>
      </w:r>
      <w:r w:rsidR="00EB64A3" w:rsidRPr="00623378">
        <w:rPr>
          <w:rFonts w:ascii="Arial" w:hAnsi="Arial" w:cs="Arial"/>
          <w:sz w:val="22"/>
          <w:szCs w:val="22"/>
        </w:rPr>
        <w:t xml:space="preserve"> in particular those who create</w:t>
      </w:r>
      <w:r w:rsidR="007F1F01">
        <w:rPr>
          <w:rFonts w:ascii="Arial" w:hAnsi="Arial" w:cs="Arial"/>
          <w:sz w:val="22"/>
          <w:szCs w:val="22"/>
        </w:rPr>
        <w:t>,</w:t>
      </w:r>
      <w:r w:rsidR="00EB64A3" w:rsidRPr="00623378">
        <w:rPr>
          <w:rFonts w:ascii="Arial" w:hAnsi="Arial" w:cs="Arial"/>
          <w:sz w:val="22"/>
          <w:szCs w:val="22"/>
        </w:rPr>
        <w:t xml:space="preserve"> develop, or are involved in the</w:t>
      </w:r>
      <w:r w:rsidR="00256336" w:rsidRPr="00623378">
        <w:rPr>
          <w:rFonts w:ascii="Arial" w:hAnsi="Arial" w:cs="Arial"/>
          <w:sz w:val="22"/>
          <w:szCs w:val="22"/>
        </w:rPr>
        <w:t xml:space="preserve"> </w:t>
      </w:r>
      <w:r w:rsidR="00EB64A3" w:rsidRPr="00623378">
        <w:rPr>
          <w:rFonts w:ascii="Arial" w:hAnsi="Arial" w:cs="Arial"/>
          <w:sz w:val="22"/>
          <w:szCs w:val="22"/>
        </w:rPr>
        <w:t>creation or development of, Relevant Works; and</w:t>
      </w:r>
    </w:p>
    <w:p w14:paraId="4BF71A39" w14:textId="77777777" w:rsidR="00436180" w:rsidRPr="00623378" w:rsidRDefault="00436180" w:rsidP="00436180">
      <w:pPr>
        <w:pStyle w:val="ListParagraph"/>
        <w:tabs>
          <w:tab w:val="left" w:pos="360"/>
          <w:tab w:val="left" w:pos="1080"/>
        </w:tabs>
        <w:ind w:left="1843"/>
        <w:jc w:val="both"/>
        <w:rPr>
          <w:rFonts w:ascii="Arial" w:hAnsi="Arial" w:cs="Arial"/>
        </w:rPr>
      </w:pPr>
    </w:p>
    <w:p w14:paraId="2BC2CF1F" w14:textId="6CBF0B6D" w:rsidR="002803B0" w:rsidRPr="00623378" w:rsidRDefault="00FA5D7F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</w:rPr>
      </w:pPr>
      <w:r w:rsidRPr="00623378">
        <w:rPr>
          <w:rFonts w:ascii="Arial" w:hAnsi="Arial" w:cs="Arial"/>
          <w:sz w:val="22"/>
          <w:szCs w:val="22"/>
        </w:rPr>
        <w:t>R</w:t>
      </w:r>
      <w:r w:rsidR="00EB64A3" w:rsidRPr="00623378">
        <w:rPr>
          <w:rFonts w:ascii="Arial" w:hAnsi="Arial" w:cs="Arial"/>
          <w:sz w:val="22"/>
          <w:szCs w:val="22"/>
        </w:rPr>
        <w:t>elevant Works accepted for publication while the author or co-author is an Employee or Student.</w:t>
      </w:r>
    </w:p>
    <w:p w14:paraId="78264822" w14:textId="77777777" w:rsidR="00256336" w:rsidRPr="002803B0" w:rsidRDefault="00256336" w:rsidP="005250A6">
      <w:pPr>
        <w:pStyle w:val="ListParagraph"/>
        <w:spacing w:after="240"/>
        <w:ind w:left="1792"/>
        <w:jc w:val="both"/>
        <w:rPr>
          <w:rFonts w:ascii="Arial" w:hAnsi="Arial" w:cs="Arial"/>
          <w:b/>
        </w:rPr>
      </w:pPr>
    </w:p>
    <w:p w14:paraId="282B0E71" w14:textId="1522D8D7" w:rsidR="009A5867" w:rsidRPr="00E032C8" w:rsidRDefault="00EB64A3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r w:rsidRPr="002803B0">
        <w:rPr>
          <w:rFonts w:ascii="Arial" w:hAnsi="Arial" w:cs="Arial"/>
          <w:sz w:val="22"/>
          <w:szCs w:val="22"/>
        </w:rPr>
        <w:t xml:space="preserve">This </w:t>
      </w:r>
      <w:r w:rsidR="007565B6">
        <w:rPr>
          <w:rFonts w:ascii="Arial" w:hAnsi="Arial" w:cs="Arial"/>
          <w:sz w:val="22"/>
          <w:szCs w:val="22"/>
        </w:rPr>
        <w:t>P</w:t>
      </w:r>
      <w:r w:rsidRPr="002803B0">
        <w:rPr>
          <w:rFonts w:ascii="Arial" w:hAnsi="Arial" w:cs="Arial"/>
          <w:sz w:val="22"/>
          <w:szCs w:val="22"/>
        </w:rPr>
        <w:t>olicy does not apply to:</w:t>
      </w:r>
    </w:p>
    <w:p w14:paraId="59D3BC16" w14:textId="77777777" w:rsidR="00E032C8" w:rsidRPr="009A5867" w:rsidRDefault="00E032C8" w:rsidP="00E032C8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b/>
        </w:rPr>
      </w:pPr>
    </w:p>
    <w:p w14:paraId="2503C2ED" w14:textId="1E10697A" w:rsidR="008B7969" w:rsidRPr="00EF0201" w:rsidRDefault="00EB64A3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</w:rPr>
      </w:pPr>
      <w:r w:rsidRPr="00623378">
        <w:rPr>
          <w:rFonts w:ascii="Arial" w:hAnsi="Arial" w:cs="Arial"/>
          <w:sz w:val="22"/>
          <w:szCs w:val="22"/>
        </w:rPr>
        <w:t xml:space="preserve">any Relevant Works submitted for publication before </w:t>
      </w:r>
      <w:r w:rsidR="009263C3" w:rsidRPr="00623378">
        <w:rPr>
          <w:rFonts w:ascii="Arial" w:hAnsi="Arial" w:cs="Arial"/>
          <w:sz w:val="22"/>
          <w:szCs w:val="22"/>
        </w:rPr>
        <w:t>1</w:t>
      </w:r>
      <w:r w:rsidR="009263C3" w:rsidRPr="00623378">
        <w:rPr>
          <w:rFonts w:ascii="Arial" w:hAnsi="Arial" w:cs="Arial"/>
          <w:sz w:val="22"/>
          <w:szCs w:val="22"/>
          <w:vertAlign w:val="superscript"/>
        </w:rPr>
        <w:t>st</w:t>
      </w:r>
      <w:r w:rsidR="009263C3" w:rsidRPr="00623378">
        <w:rPr>
          <w:rFonts w:ascii="Arial" w:hAnsi="Arial" w:cs="Arial"/>
          <w:sz w:val="22"/>
          <w:szCs w:val="22"/>
        </w:rPr>
        <w:t xml:space="preserve"> January 2023</w:t>
      </w:r>
      <w:r w:rsidRPr="00623378">
        <w:rPr>
          <w:rFonts w:ascii="Arial" w:hAnsi="Arial" w:cs="Arial"/>
          <w:sz w:val="22"/>
          <w:szCs w:val="22"/>
        </w:rPr>
        <w:t>, (</w:t>
      </w:r>
      <w:r w:rsidR="00374B39" w:rsidRPr="00623378">
        <w:rPr>
          <w:rFonts w:ascii="Arial" w:hAnsi="Arial" w:cs="Arial"/>
          <w:sz w:val="22"/>
          <w:szCs w:val="22"/>
        </w:rPr>
        <w:t>i.e.,</w:t>
      </w:r>
      <w:r w:rsidRPr="00623378">
        <w:rPr>
          <w:rFonts w:ascii="Arial" w:hAnsi="Arial" w:cs="Arial"/>
          <w:sz w:val="22"/>
          <w:szCs w:val="22"/>
        </w:rPr>
        <w:t xml:space="preserve"> the date of this </w:t>
      </w:r>
      <w:r w:rsidR="007565B6">
        <w:rPr>
          <w:rFonts w:ascii="Arial" w:hAnsi="Arial" w:cs="Arial"/>
          <w:sz w:val="22"/>
          <w:szCs w:val="22"/>
        </w:rPr>
        <w:t>P</w:t>
      </w:r>
      <w:r w:rsidRPr="00623378">
        <w:rPr>
          <w:rFonts w:ascii="Arial" w:hAnsi="Arial" w:cs="Arial"/>
          <w:sz w:val="22"/>
          <w:szCs w:val="22"/>
        </w:rPr>
        <w:t>olicy)</w:t>
      </w:r>
      <w:r w:rsidR="008B7969" w:rsidRPr="00623378">
        <w:rPr>
          <w:rFonts w:ascii="Arial" w:hAnsi="Arial" w:cs="Arial"/>
          <w:sz w:val="22"/>
          <w:szCs w:val="22"/>
        </w:rPr>
        <w:t>;</w:t>
      </w:r>
    </w:p>
    <w:p w14:paraId="0DC1F382" w14:textId="77777777" w:rsidR="00EF0201" w:rsidRPr="00623378" w:rsidRDefault="00EF0201" w:rsidP="00EF0201">
      <w:pPr>
        <w:pStyle w:val="ListParagraph"/>
        <w:tabs>
          <w:tab w:val="left" w:pos="360"/>
          <w:tab w:val="left" w:pos="1080"/>
        </w:tabs>
        <w:ind w:left="1843"/>
        <w:jc w:val="both"/>
        <w:rPr>
          <w:rFonts w:ascii="Arial" w:hAnsi="Arial" w:cs="Arial"/>
        </w:rPr>
      </w:pPr>
    </w:p>
    <w:p w14:paraId="68674B22" w14:textId="7500D021" w:rsidR="009A5867" w:rsidRPr="00623378" w:rsidRDefault="007D2773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</w:rPr>
      </w:pPr>
      <w:r w:rsidRPr="00623378">
        <w:rPr>
          <w:rFonts w:ascii="Arial" w:hAnsi="Arial" w:cs="Arial"/>
          <w:sz w:val="22"/>
          <w:szCs w:val="22"/>
        </w:rPr>
        <w:t xml:space="preserve">works </w:t>
      </w:r>
      <w:r w:rsidRPr="00E0176D">
        <w:rPr>
          <w:rFonts w:ascii="Arial" w:hAnsi="Arial" w:cs="Arial"/>
        </w:rPr>
        <w:t>that</w:t>
      </w:r>
      <w:r w:rsidRPr="00623378">
        <w:rPr>
          <w:rFonts w:ascii="Arial" w:hAnsi="Arial" w:cs="Arial"/>
          <w:sz w:val="22"/>
          <w:szCs w:val="22"/>
        </w:rPr>
        <w:t xml:space="preserve"> fall outside the definition of </w:t>
      </w:r>
      <w:r w:rsidR="00BC2245" w:rsidRPr="00623378">
        <w:rPr>
          <w:rFonts w:ascii="Arial" w:hAnsi="Arial" w:cs="Arial"/>
          <w:sz w:val="22"/>
          <w:szCs w:val="22"/>
        </w:rPr>
        <w:t>Relevant Works</w:t>
      </w:r>
      <w:r w:rsidR="00BD3FE1" w:rsidRPr="00623378">
        <w:rPr>
          <w:rFonts w:ascii="Arial" w:hAnsi="Arial" w:cs="Arial"/>
          <w:sz w:val="22"/>
          <w:szCs w:val="22"/>
        </w:rPr>
        <w:t>; and/or</w:t>
      </w:r>
    </w:p>
    <w:p w14:paraId="096EE627" w14:textId="77777777" w:rsidR="00EF0201" w:rsidRPr="00EF0201" w:rsidRDefault="00EF0201" w:rsidP="00EF0201">
      <w:pPr>
        <w:pStyle w:val="ListParagraph"/>
        <w:tabs>
          <w:tab w:val="left" w:pos="360"/>
          <w:tab w:val="left" w:pos="1080"/>
        </w:tabs>
        <w:ind w:left="1843"/>
        <w:jc w:val="both"/>
        <w:rPr>
          <w:rFonts w:ascii="Arial" w:hAnsi="Arial" w:cs="Arial"/>
        </w:rPr>
      </w:pPr>
    </w:p>
    <w:p w14:paraId="3ABAC8B4" w14:textId="64A7838F" w:rsidR="00BC2245" w:rsidRPr="00623378" w:rsidRDefault="009049CA" w:rsidP="00E0176D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</w:rPr>
      </w:pPr>
      <w:r w:rsidRPr="00623378">
        <w:rPr>
          <w:rFonts w:ascii="Arial" w:hAnsi="Arial" w:cs="Arial"/>
          <w:sz w:val="22"/>
          <w:szCs w:val="22"/>
        </w:rPr>
        <w:t>w</w:t>
      </w:r>
      <w:r w:rsidR="00BE2D54" w:rsidRPr="00623378">
        <w:rPr>
          <w:rFonts w:ascii="Arial" w:hAnsi="Arial" w:cs="Arial"/>
          <w:sz w:val="22"/>
          <w:szCs w:val="22"/>
        </w:rPr>
        <w:t>orks that are accepted for publication once the author is no longer a</w:t>
      </w:r>
      <w:r w:rsidRPr="00623378">
        <w:rPr>
          <w:rFonts w:ascii="Arial" w:hAnsi="Arial" w:cs="Arial"/>
          <w:sz w:val="22"/>
          <w:szCs w:val="22"/>
        </w:rPr>
        <w:t>n Employee or Student.</w:t>
      </w:r>
    </w:p>
    <w:p w14:paraId="03FFA89B" w14:textId="77777777" w:rsidR="005A7055" w:rsidRDefault="005A7055" w:rsidP="005A7055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b/>
        </w:rPr>
      </w:pPr>
    </w:p>
    <w:p w14:paraId="7A94D169" w14:textId="5C1746B0" w:rsidR="009A5867" w:rsidRDefault="00896452" w:rsidP="005250A6">
      <w:pPr>
        <w:pStyle w:val="ListParagraph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  <w:b/>
        </w:rPr>
      </w:pPr>
      <w:r w:rsidRPr="003D7C6C">
        <w:rPr>
          <w:rFonts w:ascii="Arial" w:hAnsi="Arial" w:cs="Arial"/>
          <w:b/>
        </w:rPr>
        <w:t xml:space="preserve">Roles and Responsibilities </w:t>
      </w:r>
    </w:p>
    <w:p w14:paraId="0F443802" w14:textId="5800B4DB" w:rsidR="009A5867" w:rsidRPr="00067096" w:rsidRDefault="00AA6638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r w:rsidRPr="009A5867">
        <w:rPr>
          <w:rFonts w:ascii="Arial" w:hAnsi="Arial" w:cs="Arial"/>
          <w:sz w:val="22"/>
          <w:szCs w:val="22"/>
        </w:rPr>
        <w:t>I</w:t>
      </w:r>
      <w:r w:rsidR="00B60B39" w:rsidRPr="009A5867">
        <w:rPr>
          <w:rFonts w:ascii="Arial" w:hAnsi="Arial" w:cs="Arial"/>
          <w:sz w:val="22"/>
          <w:szCs w:val="22"/>
        </w:rPr>
        <w:t xml:space="preserve">t is the responsibility of all </w:t>
      </w:r>
      <w:r w:rsidR="00B60B39" w:rsidRPr="00623378">
        <w:rPr>
          <w:rFonts w:ascii="Arial" w:hAnsi="Arial" w:cs="Arial"/>
          <w:sz w:val="22"/>
          <w:szCs w:val="22"/>
        </w:rPr>
        <w:t>Employees</w:t>
      </w:r>
      <w:r w:rsidR="00B60B39" w:rsidRPr="009A5867">
        <w:rPr>
          <w:rFonts w:ascii="Arial" w:hAnsi="Arial" w:cs="Arial"/>
          <w:sz w:val="22"/>
          <w:szCs w:val="22"/>
        </w:rPr>
        <w:t xml:space="preserve"> and </w:t>
      </w:r>
      <w:r w:rsidR="00B60B39" w:rsidRPr="00623378">
        <w:rPr>
          <w:rFonts w:ascii="Arial" w:hAnsi="Arial" w:cs="Arial"/>
          <w:sz w:val="22"/>
          <w:szCs w:val="22"/>
        </w:rPr>
        <w:t>Students</w:t>
      </w:r>
      <w:r w:rsidR="00B60B39" w:rsidRPr="009A5867">
        <w:rPr>
          <w:rFonts w:ascii="Arial" w:hAnsi="Arial" w:cs="Arial"/>
          <w:sz w:val="22"/>
          <w:szCs w:val="22"/>
        </w:rPr>
        <w:t xml:space="preserve"> to adhere to this </w:t>
      </w:r>
      <w:r w:rsidR="007565B6">
        <w:rPr>
          <w:rFonts w:ascii="Arial" w:hAnsi="Arial" w:cs="Arial"/>
          <w:sz w:val="22"/>
          <w:szCs w:val="22"/>
        </w:rPr>
        <w:t>P</w:t>
      </w:r>
      <w:r w:rsidR="00B60B39" w:rsidRPr="009A5867">
        <w:rPr>
          <w:rFonts w:ascii="Arial" w:hAnsi="Arial" w:cs="Arial"/>
          <w:sz w:val="22"/>
          <w:szCs w:val="22"/>
        </w:rPr>
        <w:t>olicy.</w:t>
      </w:r>
    </w:p>
    <w:p w14:paraId="3D050850" w14:textId="77777777" w:rsidR="00067096" w:rsidRPr="00256336" w:rsidRDefault="00067096" w:rsidP="00067096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b/>
        </w:rPr>
      </w:pPr>
    </w:p>
    <w:p w14:paraId="793B7651" w14:textId="2C94C192" w:rsidR="00B60B39" w:rsidRPr="006D12CB" w:rsidRDefault="00B60B39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r w:rsidRPr="009A5867">
        <w:rPr>
          <w:rFonts w:ascii="Arial" w:hAnsi="Arial" w:cs="Arial"/>
          <w:sz w:val="22"/>
          <w:szCs w:val="22"/>
        </w:rPr>
        <w:t xml:space="preserve">It is the responsibility of Deans, Heads of School and Directors, or their nominated representatives, to ensure compliance with this </w:t>
      </w:r>
      <w:r w:rsidR="007565B6">
        <w:rPr>
          <w:rFonts w:ascii="Arial" w:hAnsi="Arial" w:cs="Arial"/>
          <w:sz w:val="22"/>
          <w:szCs w:val="22"/>
        </w:rPr>
        <w:t>P</w:t>
      </w:r>
      <w:r w:rsidRPr="009A5867">
        <w:rPr>
          <w:rFonts w:ascii="Arial" w:hAnsi="Arial" w:cs="Arial"/>
          <w:sz w:val="22"/>
          <w:szCs w:val="22"/>
        </w:rPr>
        <w:t>olicy.</w:t>
      </w:r>
    </w:p>
    <w:p w14:paraId="57DD9331" w14:textId="77777777" w:rsidR="006D12CB" w:rsidRPr="009A5867" w:rsidRDefault="006D12CB" w:rsidP="006D12CB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b/>
        </w:rPr>
      </w:pPr>
    </w:p>
    <w:p w14:paraId="694F1426" w14:textId="4DDBF574" w:rsidR="009A5867" w:rsidRPr="009A5867" w:rsidRDefault="003E1C59" w:rsidP="005E4795">
      <w:pPr>
        <w:pStyle w:val="ListParagraph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5867">
        <w:rPr>
          <w:rFonts w:ascii="Arial" w:hAnsi="Arial" w:cs="Arial"/>
          <w:b/>
          <w:bCs/>
        </w:rPr>
        <w:t>IP Rights</w:t>
      </w:r>
    </w:p>
    <w:p w14:paraId="1EE985B3" w14:textId="6D075106" w:rsidR="009A5867" w:rsidRDefault="00EC10BA" w:rsidP="005E4795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9A5867">
        <w:rPr>
          <w:rFonts w:ascii="Arial" w:hAnsi="Arial" w:cs="Arial"/>
          <w:sz w:val="22"/>
          <w:szCs w:val="22"/>
        </w:rPr>
        <w:t xml:space="preserve">Ownership of, and any associated rights in relation to, IP shall be determined in accordance with the </w:t>
      </w:r>
      <w:hyperlink r:id="rId11" w:history="1">
        <w:r w:rsidRPr="009A5867">
          <w:rPr>
            <w:rStyle w:val="Hyperlink"/>
            <w:rFonts w:ascii="Arial" w:hAnsi="Arial" w:cs="Arial"/>
            <w:sz w:val="22"/>
            <w:szCs w:val="22"/>
          </w:rPr>
          <w:t xml:space="preserve">University’s </w:t>
        </w:r>
        <w:r w:rsidR="00E72641" w:rsidRPr="009A5867">
          <w:rPr>
            <w:rStyle w:val="Hyperlink"/>
            <w:rFonts w:ascii="Arial" w:hAnsi="Arial" w:cs="Arial"/>
            <w:sz w:val="22"/>
            <w:szCs w:val="22"/>
          </w:rPr>
          <w:t>IP Policy</w:t>
        </w:r>
      </w:hyperlink>
      <w:r w:rsidR="0083775B" w:rsidRPr="009A5867">
        <w:rPr>
          <w:rFonts w:ascii="Arial" w:hAnsi="Arial" w:cs="Arial"/>
          <w:sz w:val="22"/>
          <w:szCs w:val="22"/>
        </w:rPr>
        <w:t>.</w:t>
      </w:r>
      <w:r w:rsidR="00D7423E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14:paraId="4CBC4B70" w14:textId="77777777" w:rsidR="00D66845" w:rsidRDefault="00D66845" w:rsidP="00D66845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6953E8CE" w14:textId="7770A4DE" w:rsidR="001A3371" w:rsidRDefault="00F54759" w:rsidP="005E4795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F54759">
        <w:rPr>
          <w:rFonts w:ascii="Arial" w:hAnsi="Arial" w:cs="Arial"/>
          <w:sz w:val="22"/>
          <w:szCs w:val="22"/>
        </w:rPr>
        <w:t xml:space="preserve">In accordance with paragraph 4.4 of the IP Policy, where IP belongs to a Student or an Employee, the University may perform any act consistent with the </w:t>
      </w:r>
      <w:proofErr w:type="spellStart"/>
      <w:r w:rsidRPr="00F54759">
        <w:rPr>
          <w:rFonts w:ascii="Arial" w:hAnsi="Arial" w:cs="Arial"/>
          <w:sz w:val="22"/>
          <w:szCs w:val="22"/>
        </w:rPr>
        <w:t>licence</w:t>
      </w:r>
      <w:proofErr w:type="spellEnd"/>
      <w:r w:rsidRPr="00F54759">
        <w:rPr>
          <w:rFonts w:ascii="Arial" w:hAnsi="Arial" w:cs="Arial"/>
          <w:sz w:val="22"/>
          <w:szCs w:val="22"/>
        </w:rPr>
        <w:t xml:space="preserve"> granted by the Creator under paragraph 4.1.2 of the IP Policy (as set out at paragraph 4.2). For the avoidance of doubt, this includes (but is not limited to) making a Relevant Work available in accordance with this Policy.</w:t>
      </w:r>
    </w:p>
    <w:p w14:paraId="423D2642" w14:textId="77777777" w:rsidR="006C6BA5" w:rsidRDefault="006C6BA5" w:rsidP="005250A6">
      <w:pPr>
        <w:pStyle w:val="ListParagraph"/>
        <w:tabs>
          <w:tab w:val="left" w:pos="360"/>
          <w:tab w:val="left" w:pos="1080"/>
        </w:tabs>
        <w:ind w:left="1224"/>
        <w:jc w:val="both"/>
        <w:rPr>
          <w:rFonts w:ascii="Arial" w:hAnsi="Arial" w:cs="Arial"/>
          <w:sz w:val="22"/>
          <w:szCs w:val="22"/>
        </w:rPr>
      </w:pPr>
    </w:p>
    <w:p w14:paraId="581937D7" w14:textId="5A801689" w:rsidR="009A5867" w:rsidRPr="009A5867" w:rsidRDefault="003E1C59" w:rsidP="005E4795">
      <w:pPr>
        <w:pStyle w:val="ListParagraph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A5867">
        <w:rPr>
          <w:rFonts w:ascii="Arial" w:hAnsi="Arial" w:cs="Arial"/>
          <w:b/>
          <w:bCs/>
        </w:rPr>
        <w:t>Obligation to deposit works upon its acceptance for publication</w:t>
      </w:r>
    </w:p>
    <w:p w14:paraId="7EED6107" w14:textId="77777777" w:rsidR="009A5867" w:rsidRPr="009A5867" w:rsidRDefault="009A5867" w:rsidP="005250A6">
      <w:pPr>
        <w:pStyle w:val="ListParagraph"/>
        <w:tabs>
          <w:tab w:val="left" w:pos="360"/>
          <w:tab w:val="left" w:pos="108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2C56AC29" w14:textId="7F176407" w:rsidR="008F5209" w:rsidRPr="00623378" w:rsidRDefault="003E1C59" w:rsidP="005E4795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bookmarkStart w:id="1" w:name="_Ref116292873"/>
      <w:r w:rsidRPr="00623378">
        <w:rPr>
          <w:rFonts w:ascii="Arial" w:hAnsi="Arial" w:cs="Arial"/>
          <w:sz w:val="22"/>
          <w:szCs w:val="22"/>
        </w:rPr>
        <w:t>Each Employee and/or Student must</w:t>
      </w:r>
      <w:r w:rsidR="006C6BA5" w:rsidRPr="00623378">
        <w:rPr>
          <w:rFonts w:ascii="Arial" w:hAnsi="Arial" w:cs="Arial"/>
          <w:sz w:val="22"/>
          <w:szCs w:val="22"/>
        </w:rPr>
        <w:t xml:space="preserve"> </w:t>
      </w:r>
      <w:r w:rsidRPr="00623378">
        <w:rPr>
          <w:rFonts w:ascii="Arial" w:hAnsi="Arial" w:cs="Arial"/>
          <w:sz w:val="22"/>
          <w:szCs w:val="22"/>
        </w:rPr>
        <w:t>deposit, or facilitate the University’s deposit of, the Author Accepted Manuscripts (“</w:t>
      </w:r>
      <w:r w:rsidRPr="0075687C">
        <w:rPr>
          <w:rFonts w:ascii="Arial" w:hAnsi="Arial" w:cs="Arial"/>
          <w:b/>
          <w:bCs/>
          <w:sz w:val="22"/>
          <w:szCs w:val="22"/>
        </w:rPr>
        <w:t>AAM</w:t>
      </w:r>
      <w:r w:rsidRPr="00623378">
        <w:rPr>
          <w:rFonts w:ascii="Arial" w:hAnsi="Arial" w:cs="Arial"/>
          <w:sz w:val="22"/>
          <w:szCs w:val="22"/>
        </w:rPr>
        <w:t xml:space="preserve">”) </w:t>
      </w:r>
      <w:r w:rsidR="00AA2C29">
        <w:rPr>
          <w:rFonts w:ascii="Arial" w:hAnsi="Arial" w:cs="Arial"/>
          <w:sz w:val="22"/>
          <w:szCs w:val="22"/>
        </w:rPr>
        <w:t xml:space="preserve">upon acceptance </w:t>
      </w:r>
      <w:r w:rsidRPr="00623378">
        <w:rPr>
          <w:rFonts w:ascii="Arial" w:hAnsi="Arial" w:cs="Arial"/>
          <w:sz w:val="22"/>
          <w:szCs w:val="22"/>
        </w:rPr>
        <w:t>or the open access published Version of Record of all Relevant Works authored or co-authored by them in the University’s repository</w:t>
      </w:r>
      <w:r w:rsidR="00EE6763" w:rsidRPr="00623378">
        <w:rPr>
          <w:rFonts w:ascii="Arial" w:hAnsi="Arial" w:cs="Arial"/>
          <w:sz w:val="22"/>
          <w:szCs w:val="22"/>
        </w:rPr>
        <w:t>.</w:t>
      </w:r>
      <w:bookmarkEnd w:id="1"/>
    </w:p>
    <w:p w14:paraId="616AEB62" w14:textId="77777777" w:rsidR="008F5209" w:rsidRDefault="008F5209" w:rsidP="005250A6">
      <w:pPr>
        <w:pStyle w:val="ListParagraph"/>
        <w:tabs>
          <w:tab w:val="left" w:pos="360"/>
          <w:tab w:val="left" w:pos="1080"/>
        </w:tabs>
        <w:ind w:left="1224"/>
        <w:jc w:val="both"/>
        <w:rPr>
          <w:rFonts w:ascii="Arial" w:hAnsi="Arial" w:cs="Arial"/>
          <w:sz w:val="22"/>
          <w:szCs w:val="22"/>
        </w:rPr>
      </w:pPr>
    </w:p>
    <w:p w14:paraId="395C8230" w14:textId="7D278DDC" w:rsidR="00F02BCF" w:rsidRPr="00623378" w:rsidRDefault="003E1C59" w:rsidP="005E4795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623378">
        <w:rPr>
          <w:rFonts w:ascii="Arial" w:hAnsi="Arial" w:cs="Arial"/>
          <w:sz w:val="22"/>
          <w:szCs w:val="22"/>
        </w:rPr>
        <w:t xml:space="preserve">By way of non-exhaustive example, an Employee or Student will be deemed to have </w:t>
      </w:r>
      <w:r w:rsidR="005F5300">
        <w:rPr>
          <w:rFonts w:ascii="Arial" w:hAnsi="Arial" w:cs="Arial"/>
          <w:sz w:val="22"/>
          <w:szCs w:val="22"/>
        </w:rPr>
        <w:t xml:space="preserve">complied with their obligations under paragraph </w:t>
      </w:r>
      <w:r w:rsidR="005F5300">
        <w:rPr>
          <w:rFonts w:ascii="Arial" w:hAnsi="Arial" w:cs="Arial"/>
          <w:sz w:val="22"/>
          <w:szCs w:val="22"/>
        </w:rPr>
        <w:fldChar w:fldCharType="begin"/>
      </w:r>
      <w:r w:rsidR="005F5300">
        <w:rPr>
          <w:rFonts w:ascii="Arial" w:hAnsi="Arial" w:cs="Arial"/>
          <w:sz w:val="22"/>
          <w:szCs w:val="22"/>
        </w:rPr>
        <w:instrText xml:space="preserve"> REF _Ref116292873 \r \h </w:instrText>
      </w:r>
      <w:r w:rsidR="005F5300">
        <w:rPr>
          <w:rFonts w:ascii="Arial" w:hAnsi="Arial" w:cs="Arial"/>
          <w:sz w:val="22"/>
          <w:szCs w:val="22"/>
        </w:rPr>
      </w:r>
      <w:r w:rsidR="005F5300">
        <w:rPr>
          <w:rFonts w:ascii="Arial" w:hAnsi="Arial" w:cs="Arial"/>
          <w:sz w:val="22"/>
          <w:szCs w:val="22"/>
        </w:rPr>
        <w:fldChar w:fldCharType="separate"/>
      </w:r>
      <w:r w:rsidR="00774F26">
        <w:rPr>
          <w:rFonts w:ascii="Arial" w:hAnsi="Arial" w:cs="Arial"/>
          <w:sz w:val="22"/>
          <w:szCs w:val="22"/>
        </w:rPr>
        <w:t>5.1</w:t>
      </w:r>
      <w:r w:rsidR="005F5300">
        <w:rPr>
          <w:rFonts w:ascii="Arial" w:hAnsi="Arial" w:cs="Arial"/>
          <w:sz w:val="22"/>
          <w:szCs w:val="22"/>
        </w:rPr>
        <w:fldChar w:fldCharType="end"/>
      </w:r>
      <w:r w:rsidRPr="00623378">
        <w:rPr>
          <w:rFonts w:ascii="Arial" w:hAnsi="Arial" w:cs="Arial"/>
          <w:sz w:val="22"/>
          <w:szCs w:val="22"/>
        </w:rPr>
        <w:t xml:space="preserve"> if they do any of the following:</w:t>
      </w:r>
      <w:r w:rsidR="00546772" w:rsidRPr="00623378">
        <w:rPr>
          <w:rFonts w:ascii="Arial" w:hAnsi="Arial" w:cs="Arial"/>
          <w:sz w:val="22"/>
          <w:szCs w:val="22"/>
        </w:rPr>
        <w:t xml:space="preserve"> </w:t>
      </w:r>
    </w:p>
    <w:p w14:paraId="3C30A266" w14:textId="77777777" w:rsidR="00F02BCF" w:rsidRDefault="00F02BCF" w:rsidP="005250A6">
      <w:pPr>
        <w:pStyle w:val="ListParagraph"/>
        <w:tabs>
          <w:tab w:val="left" w:pos="360"/>
          <w:tab w:val="left" w:pos="1080"/>
        </w:tabs>
        <w:ind w:left="1224"/>
        <w:jc w:val="both"/>
        <w:rPr>
          <w:rFonts w:ascii="Arial" w:hAnsi="Arial" w:cs="Arial"/>
          <w:sz w:val="22"/>
          <w:szCs w:val="22"/>
        </w:rPr>
      </w:pPr>
    </w:p>
    <w:p w14:paraId="0CCCBD09" w14:textId="627364E3" w:rsidR="006D47D0" w:rsidRDefault="003E1C59" w:rsidP="005E4795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46772">
        <w:rPr>
          <w:rFonts w:ascii="Arial" w:hAnsi="Arial" w:cs="Arial"/>
          <w:sz w:val="22"/>
          <w:szCs w:val="22"/>
        </w:rPr>
        <w:t>publish a Relevant Work as open access under a Creative Commons Attribution (CC BY) licen</w:t>
      </w:r>
      <w:r w:rsidR="008806EB">
        <w:rPr>
          <w:rFonts w:ascii="Arial" w:hAnsi="Arial" w:cs="Arial"/>
          <w:sz w:val="22"/>
          <w:szCs w:val="22"/>
        </w:rPr>
        <w:t>s</w:t>
      </w:r>
      <w:r w:rsidRPr="00546772">
        <w:rPr>
          <w:rFonts w:ascii="Arial" w:hAnsi="Arial" w:cs="Arial"/>
          <w:sz w:val="22"/>
          <w:szCs w:val="22"/>
        </w:rPr>
        <w:t>e;</w:t>
      </w:r>
    </w:p>
    <w:p w14:paraId="7FF23718" w14:textId="77777777" w:rsidR="00922C20" w:rsidRPr="00DC1155" w:rsidRDefault="00922C20" w:rsidP="00922C20">
      <w:pPr>
        <w:pStyle w:val="ListParagraph"/>
        <w:tabs>
          <w:tab w:val="left" w:pos="360"/>
          <w:tab w:val="left" w:pos="1080"/>
        </w:tabs>
        <w:ind w:left="1920"/>
        <w:jc w:val="both"/>
        <w:rPr>
          <w:rFonts w:ascii="Arial" w:hAnsi="Arial" w:cs="Arial"/>
          <w:sz w:val="22"/>
          <w:szCs w:val="22"/>
        </w:rPr>
      </w:pPr>
    </w:p>
    <w:p w14:paraId="4F687968" w14:textId="3B3A90E7" w:rsidR="006D47D0" w:rsidRDefault="003E1C59" w:rsidP="005E4795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46772">
        <w:rPr>
          <w:rFonts w:ascii="Arial" w:hAnsi="Arial" w:cs="Arial"/>
          <w:sz w:val="22"/>
          <w:szCs w:val="22"/>
        </w:rPr>
        <w:t>deposit the AAM of a Relevant Work in the University's repository (or facilitates deposit via the Library's Open Access Gateway);</w:t>
      </w:r>
    </w:p>
    <w:p w14:paraId="3157F1F0" w14:textId="77777777" w:rsidR="00922C20" w:rsidRPr="00922C20" w:rsidRDefault="00922C20" w:rsidP="00922C20">
      <w:pPr>
        <w:pStyle w:val="ListParagraph"/>
        <w:rPr>
          <w:rFonts w:ascii="Arial" w:hAnsi="Arial" w:cs="Arial"/>
          <w:sz w:val="22"/>
          <w:szCs w:val="22"/>
        </w:rPr>
      </w:pPr>
    </w:p>
    <w:p w14:paraId="79F6033D" w14:textId="4A9E4A13" w:rsidR="008806EB" w:rsidRDefault="003E1C59" w:rsidP="005E4795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46772">
        <w:rPr>
          <w:rFonts w:ascii="Arial" w:hAnsi="Arial" w:cs="Arial"/>
          <w:sz w:val="22"/>
          <w:szCs w:val="22"/>
        </w:rPr>
        <w:t>deposit the AAM of a Relevant Work in a subject repository; or</w:t>
      </w:r>
    </w:p>
    <w:p w14:paraId="6EBFBCD9" w14:textId="77777777" w:rsidR="00922C20" w:rsidRPr="00922C20" w:rsidRDefault="00922C20" w:rsidP="00922C20">
      <w:pPr>
        <w:pStyle w:val="ListParagraph"/>
        <w:rPr>
          <w:rFonts w:ascii="Arial" w:hAnsi="Arial" w:cs="Arial"/>
          <w:sz w:val="22"/>
          <w:szCs w:val="22"/>
        </w:rPr>
      </w:pPr>
    </w:p>
    <w:p w14:paraId="0A7973C7" w14:textId="6655AB47" w:rsidR="00546772" w:rsidRDefault="003E1C59" w:rsidP="005E4795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46772">
        <w:rPr>
          <w:rFonts w:ascii="Arial" w:hAnsi="Arial" w:cs="Arial"/>
          <w:sz w:val="22"/>
          <w:szCs w:val="22"/>
        </w:rPr>
        <w:t>submit a Relevant Work to a publisher</w:t>
      </w:r>
      <w:r w:rsidR="006C03CC">
        <w:rPr>
          <w:rFonts w:ascii="Arial" w:hAnsi="Arial" w:cs="Arial"/>
          <w:sz w:val="22"/>
          <w:szCs w:val="22"/>
        </w:rPr>
        <w:t>, who</w:t>
      </w:r>
      <w:r w:rsidRPr="00546772">
        <w:rPr>
          <w:rFonts w:ascii="Arial" w:hAnsi="Arial" w:cs="Arial"/>
          <w:sz w:val="22"/>
          <w:szCs w:val="22"/>
        </w:rPr>
        <w:t xml:space="preserve"> provides the AAM to an appropriate third party or the University. Further guidance on other methods of facilitation can be found on the </w:t>
      </w:r>
      <w:hyperlink r:id="rId12" w:history="1">
        <w:r w:rsidRPr="00945A8E">
          <w:rPr>
            <w:rStyle w:val="Hyperlink"/>
            <w:rFonts w:ascii="Arial" w:hAnsi="Arial" w:cs="Arial"/>
            <w:sz w:val="22"/>
            <w:szCs w:val="22"/>
          </w:rPr>
          <w:t>Office for Open Research website</w:t>
        </w:r>
      </w:hyperlink>
      <w:r w:rsidRPr="00546772">
        <w:rPr>
          <w:rFonts w:ascii="Arial" w:hAnsi="Arial" w:cs="Arial"/>
          <w:sz w:val="22"/>
          <w:szCs w:val="22"/>
        </w:rPr>
        <w:t>;</w:t>
      </w:r>
      <w:r w:rsidR="00945A8E">
        <w:rPr>
          <w:rStyle w:val="FootnoteReference"/>
          <w:rFonts w:ascii="Arial" w:hAnsi="Arial" w:cs="Arial"/>
          <w:sz w:val="22"/>
          <w:szCs w:val="22"/>
        </w:rPr>
        <w:footnoteReference w:id="4"/>
      </w:r>
    </w:p>
    <w:p w14:paraId="2C0C0D18" w14:textId="655F0CC3" w:rsidR="00546772" w:rsidRDefault="003E1C59" w:rsidP="005250A6">
      <w:pPr>
        <w:pStyle w:val="ListParagraph"/>
        <w:tabs>
          <w:tab w:val="left" w:pos="360"/>
          <w:tab w:val="left" w:pos="1080"/>
        </w:tabs>
        <w:ind w:left="1224"/>
        <w:jc w:val="both"/>
        <w:rPr>
          <w:rFonts w:ascii="Arial" w:hAnsi="Arial" w:cs="Arial"/>
          <w:sz w:val="22"/>
          <w:szCs w:val="22"/>
        </w:rPr>
      </w:pPr>
      <w:r w:rsidRPr="00546772">
        <w:rPr>
          <w:rFonts w:ascii="Arial" w:hAnsi="Arial" w:cs="Arial"/>
          <w:sz w:val="22"/>
          <w:szCs w:val="22"/>
        </w:rPr>
        <w:t xml:space="preserve">  </w:t>
      </w:r>
    </w:p>
    <w:p w14:paraId="19C0EA3A" w14:textId="69C63BDF" w:rsidR="00F25593" w:rsidRPr="00623378" w:rsidRDefault="003E1C59" w:rsidP="005E4795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623378">
        <w:rPr>
          <w:rFonts w:ascii="Arial" w:hAnsi="Arial" w:cs="Arial"/>
          <w:sz w:val="22"/>
          <w:szCs w:val="22"/>
        </w:rPr>
        <w:t xml:space="preserve">Each Employee </w:t>
      </w:r>
      <w:r w:rsidR="005A7055" w:rsidRPr="00623378">
        <w:rPr>
          <w:rFonts w:ascii="Arial" w:hAnsi="Arial" w:cs="Arial"/>
          <w:sz w:val="22"/>
          <w:szCs w:val="22"/>
        </w:rPr>
        <w:t>and/</w:t>
      </w:r>
      <w:r w:rsidRPr="00623378">
        <w:rPr>
          <w:rFonts w:ascii="Arial" w:hAnsi="Arial" w:cs="Arial"/>
          <w:sz w:val="22"/>
          <w:szCs w:val="22"/>
        </w:rPr>
        <w:t xml:space="preserve">or Student must </w:t>
      </w:r>
      <w:r w:rsidR="005A7055" w:rsidRPr="00623378">
        <w:rPr>
          <w:rFonts w:ascii="Arial" w:hAnsi="Arial" w:cs="Arial"/>
          <w:sz w:val="22"/>
          <w:szCs w:val="22"/>
        </w:rPr>
        <w:t xml:space="preserve">not </w:t>
      </w:r>
      <w:r w:rsidRPr="00623378">
        <w:rPr>
          <w:rFonts w:ascii="Arial" w:hAnsi="Arial" w:cs="Arial"/>
          <w:sz w:val="22"/>
          <w:szCs w:val="22"/>
        </w:rPr>
        <w:t xml:space="preserve">enter into any publishing or other agreement that is inconsistent with, or contradicts, this </w:t>
      </w:r>
      <w:r w:rsidR="007565B6">
        <w:rPr>
          <w:rFonts w:ascii="Arial" w:hAnsi="Arial" w:cs="Arial"/>
          <w:sz w:val="22"/>
          <w:szCs w:val="22"/>
        </w:rPr>
        <w:t>P</w:t>
      </w:r>
      <w:r w:rsidRPr="00623378">
        <w:rPr>
          <w:rFonts w:ascii="Arial" w:hAnsi="Arial" w:cs="Arial"/>
          <w:sz w:val="22"/>
          <w:szCs w:val="22"/>
        </w:rPr>
        <w:t>olicy.</w:t>
      </w:r>
    </w:p>
    <w:p w14:paraId="594C624A" w14:textId="77777777" w:rsidR="00F25593" w:rsidRDefault="00F25593" w:rsidP="005250A6">
      <w:pPr>
        <w:pStyle w:val="ListParagraph"/>
        <w:tabs>
          <w:tab w:val="left" w:pos="360"/>
          <w:tab w:val="left" w:pos="1080"/>
        </w:tabs>
        <w:ind w:left="1224"/>
        <w:jc w:val="both"/>
        <w:rPr>
          <w:rFonts w:ascii="Arial" w:hAnsi="Arial" w:cs="Arial"/>
          <w:sz w:val="22"/>
          <w:szCs w:val="22"/>
        </w:rPr>
      </w:pPr>
    </w:p>
    <w:p w14:paraId="335A19D7" w14:textId="77777777" w:rsidR="00C345E3" w:rsidRPr="00C345E3" w:rsidRDefault="00C345E3" w:rsidP="00C345E3">
      <w:pPr>
        <w:pStyle w:val="ListParagraph"/>
        <w:rPr>
          <w:rFonts w:ascii="Arial" w:hAnsi="Arial" w:cs="Arial"/>
          <w:b/>
        </w:rPr>
      </w:pPr>
    </w:p>
    <w:p w14:paraId="1728736B" w14:textId="77326B1A" w:rsidR="003E5C3E" w:rsidRPr="008806EB" w:rsidRDefault="00D970BA" w:rsidP="003E5C3E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 xml:space="preserve">The </w:t>
      </w:r>
      <w:r w:rsidR="003E5C3E" w:rsidRPr="00F25593">
        <w:rPr>
          <w:rFonts w:ascii="Arial" w:hAnsi="Arial" w:cs="Arial"/>
          <w:b/>
          <w:bCs/>
        </w:rPr>
        <w:t>University</w:t>
      </w:r>
      <w:r>
        <w:rPr>
          <w:rFonts w:ascii="Arial" w:hAnsi="Arial" w:cs="Arial"/>
          <w:b/>
          <w:bCs/>
        </w:rPr>
        <w:t>’s</w:t>
      </w:r>
      <w:r w:rsidR="003E5C3E" w:rsidRPr="00F25593">
        <w:rPr>
          <w:rFonts w:ascii="Arial" w:hAnsi="Arial" w:cs="Arial"/>
          <w:b/>
          <w:bCs/>
        </w:rPr>
        <w:t xml:space="preserve"> </w:t>
      </w:r>
      <w:r w:rsidR="003E5C3E" w:rsidRPr="005E4795">
        <w:rPr>
          <w:rFonts w:ascii="Arial" w:hAnsi="Arial" w:cs="Arial"/>
          <w:b/>
        </w:rPr>
        <w:t>obligations</w:t>
      </w:r>
    </w:p>
    <w:p w14:paraId="05E08227" w14:textId="77777777" w:rsidR="003E5C3E" w:rsidRPr="00881C31" w:rsidRDefault="003E5C3E" w:rsidP="003E5C3E">
      <w:pPr>
        <w:pStyle w:val="ListParagraph"/>
        <w:tabs>
          <w:tab w:val="left" w:pos="360"/>
          <w:tab w:val="left" w:pos="1080"/>
        </w:tabs>
        <w:ind w:left="792"/>
        <w:jc w:val="both"/>
        <w:rPr>
          <w:rFonts w:ascii="Arial" w:hAnsi="Arial" w:cs="Arial"/>
          <w:sz w:val="22"/>
          <w:szCs w:val="22"/>
        </w:rPr>
      </w:pPr>
    </w:p>
    <w:p w14:paraId="462F08A5" w14:textId="77777777" w:rsidR="00D970BA" w:rsidRDefault="003E5C3E" w:rsidP="003E5C3E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5A7055">
        <w:rPr>
          <w:rFonts w:ascii="Arial" w:hAnsi="Arial" w:cs="Arial"/>
          <w:sz w:val="22"/>
          <w:szCs w:val="22"/>
        </w:rPr>
        <w:t xml:space="preserve">The </w:t>
      </w:r>
      <w:r w:rsidRPr="000F3750">
        <w:rPr>
          <w:rFonts w:ascii="Arial" w:hAnsi="Arial" w:cs="Arial"/>
          <w:sz w:val="22"/>
          <w:szCs w:val="22"/>
        </w:rPr>
        <w:t>University</w:t>
      </w:r>
      <w:r w:rsidRPr="005A7055">
        <w:rPr>
          <w:rFonts w:ascii="Arial" w:hAnsi="Arial" w:cs="Arial"/>
          <w:sz w:val="22"/>
          <w:szCs w:val="22"/>
        </w:rPr>
        <w:t xml:space="preserve"> will make</w:t>
      </w:r>
      <w:r w:rsidR="00D970BA">
        <w:rPr>
          <w:rFonts w:ascii="Arial" w:hAnsi="Arial" w:cs="Arial"/>
          <w:sz w:val="22"/>
          <w:szCs w:val="22"/>
        </w:rPr>
        <w:t>:</w:t>
      </w:r>
    </w:p>
    <w:p w14:paraId="4CFE7A57" w14:textId="77777777" w:rsidR="00D970BA" w:rsidRDefault="00D970BA" w:rsidP="00D970BA">
      <w:pPr>
        <w:pStyle w:val="ListParagraph"/>
        <w:tabs>
          <w:tab w:val="left" w:pos="426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58290A4E" w14:textId="77777777" w:rsidR="00D970BA" w:rsidRDefault="003E5C3E" w:rsidP="00D970BA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A7055">
        <w:rPr>
          <w:rFonts w:ascii="Arial" w:hAnsi="Arial" w:cs="Arial"/>
          <w:sz w:val="22"/>
          <w:szCs w:val="22"/>
        </w:rPr>
        <w:t>article metadata available immediately upon deposit</w:t>
      </w:r>
      <w:r w:rsidR="00D970BA">
        <w:rPr>
          <w:rFonts w:ascii="Arial" w:hAnsi="Arial" w:cs="Arial"/>
          <w:sz w:val="22"/>
          <w:szCs w:val="22"/>
        </w:rPr>
        <w:t>;</w:t>
      </w:r>
      <w:r w:rsidRPr="005A7055">
        <w:rPr>
          <w:rFonts w:ascii="Arial" w:hAnsi="Arial" w:cs="Arial"/>
          <w:sz w:val="22"/>
          <w:szCs w:val="22"/>
        </w:rPr>
        <w:t xml:space="preserve"> and </w:t>
      </w:r>
    </w:p>
    <w:p w14:paraId="110C17EC" w14:textId="77777777" w:rsidR="00D970BA" w:rsidRDefault="00D970BA" w:rsidP="00D970BA">
      <w:pPr>
        <w:pStyle w:val="ListParagraph"/>
        <w:tabs>
          <w:tab w:val="left" w:pos="360"/>
          <w:tab w:val="left" w:pos="1080"/>
        </w:tabs>
        <w:ind w:left="1843"/>
        <w:jc w:val="both"/>
        <w:rPr>
          <w:rFonts w:ascii="Arial" w:hAnsi="Arial" w:cs="Arial"/>
          <w:sz w:val="22"/>
          <w:szCs w:val="22"/>
        </w:rPr>
      </w:pPr>
    </w:p>
    <w:p w14:paraId="5E9E147D" w14:textId="77777777" w:rsidR="00D970BA" w:rsidRDefault="003E5C3E" w:rsidP="00D970BA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A7055">
        <w:rPr>
          <w:rFonts w:ascii="Arial" w:hAnsi="Arial" w:cs="Arial"/>
          <w:sz w:val="22"/>
          <w:szCs w:val="22"/>
        </w:rPr>
        <w:t>the AAM accessible to the public on the date of first online publication (or the conference end date for conference proceedings)</w:t>
      </w:r>
      <w:r w:rsidR="00D970BA">
        <w:rPr>
          <w:rFonts w:ascii="Arial" w:hAnsi="Arial" w:cs="Arial"/>
          <w:sz w:val="22"/>
          <w:szCs w:val="22"/>
        </w:rPr>
        <w:t>,</w:t>
      </w:r>
    </w:p>
    <w:p w14:paraId="7184DB45" w14:textId="77777777" w:rsidR="00D970BA" w:rsidRPr="00D970BA" w:rsidRDefault="00D970BA" w:rsidP="00D970BA">
      <w:pPr>
        <w:pStyle w:val="ListParagraph"/>
        <w:rPr>
          <w:rFonts w:ascii="Arial" w:hAnsi="Arial" w:cs="Arial"/>
          <w:sz w:val="22"/>
          <w:szCs w:val="22"/>
        </w:rPr>
      </w:pPr>
    </w:p>
    <w:p w14:paraId="10EDC114" w14:textId="1313ADF6" w:rsidR="003E5C3E" w:rsidRDefault="003E5C3E" w:rsidP="00D970BA">
      <w:pPr>
        <w:tabs>
          <w:tab w:val="left" w:pos="360"/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D970BA">
        <w:rPr>
          <w:rFonts w:ascii="Arial" w:hAnsi="Arial" w:cs="Arial"/>
          <w:sz w:val="22"/>
          <w:szCs w:val="22"/>
        </w:rPr>
        <w:t>under a Creative Commons Attribution (CC BY) license.</w:t>
      </w:r>
    </w:p>
    <w:p w14:paraId="75057F6B" w14:textId="77777777" w:rsidR="00841B60" w:rsidRDefault="00841B60" w:rsidP="00D970BA">
      <w:pPr>
        <w:tabs>
          <w:tab w:val="left" w:pos="360"/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7E2094DF" w14:textId="77777777" w:rsidR="00841B60" w:rsidRPr="00841B60" w:rsidRDefault="00841B60" w:rsidP="00841B60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841B60">
        <w:rPr>
          <w:rFonts w:ascii="Arial" w:hAnsi="Arial" w:cs="Arial"/>
          <w:b/>
        </w:rPr>
        <w:t>Exceptions</w:t>
      </w:r>
    </w:p>
    <w:p w14:paraId="42FC1FEE" w14:textId="77777777" w:rsidR="00841B60" w:rsidRDefault="00841B60" w:rsidP="00841B60">
      <w:pPr>
        <w:pStyle w:val="ListParagraph"/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b/>
        </w:rPr>
      </w:pPr>
    </w:p>
    <w:p w14:paraId="5D61BD1C" w14:textId="77777777" w:rsidR="00841B60" w:rsidRPr="00004565" w:rsidRDefault="00841B60" w:rsidP="00841B60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bookmarkStart w:id="2" w:name="_Ref116294734"/>
      <w:r w:rsidRPr="006D47D0">
        <w:rPr>
          <w:rFonts w:ascii="Arial" w:hAnsi="Arial" w:cs="Arial"/>
          <w:bCs/>
          <w:sz w:val="22"/>
          <w:szCs w:val="22"/>
        </w:rPr>
        <w:t xml:space="preserve">The </w:t>
      </w:r>
      <w:r w:rsidRPr="006D12CB">
        <w:rPr>
          <w:rFonts w:ascii="Arial" w:hAnsi="Arial" w:cs="Arial"/>
          <w:sz w:val="22"/>
          <w:szCs w:val="22"/>
        </w:rPr>
        <w:t>University</w:t>
      </w:r>
      <w:r w:rsidRPr="006D4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D47D0">
        <w:rPr>
          <w:rFonts w:ascii="Arial" w:hAnsi="Arial" w:cs="Arial"/>
          <w:bCs/>
          <w:sz w:val="22"/>
          <w:szCs w:val="22"/>
        </w:rPr>
        <w:t>recognises</w:t>
      </w:r>
      <w:proofErr w:type="spellEnd"/>
      <w:r w:rsidRPr="006D47D0">
        <w:rPr>
          <w:rFonts w:ascii="Arial" w:hAnsi="Arial" w:cs="Arial"/>
          <w:bCs/>
          <w:sz w:val="22"/>
          <w:szCs w:val="22"/>
        </w:rPr>
        <w:t xml:space="preserve"> that there may be circumstances in which it may not be appropriate to deposit and share a work in accordance with the normal position set out at paragraph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REF _Ref116292873 \r \h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6D47D0">
        <w:rPr>
          <w:rFonts w:ascii="Arial" w:hAnsi="Arial" w:cs="Arial"/>
          <w:bCs/>
          <w:sz w:val="22"/>
          <w:szCs w:val="22"/>
        </w:rPr>
        <w:t>For example, where:</w:t>
      </w:r>
      <w:bookmarkEnd w:id="2"/>
      <w:r w:rsidRPr="006D47D0">
        <w:rPr>
          <w:rFonts w:ascii="Arial" w:hAnsi="Arial" w:cs="Arial"/>
          <w:bCs/>
          <w:sz w:val="22"/>
          <w:szCs w:val="22"/>
        </w:rPr>
        <w:t xml:space="preserve"> </w:t>
      </w:r>
    </w:p>
    <w:p w14:paraId="09A0B83D" w14:textId="77777777" w:rsidR="00841B60" w:rsidRDefault="00841B60" w:rsidP="00841B60">
      <w:pPr>
        <w:pStyle w:val="ListParagraph"/>
        <w:tabs>
          <w:tab w:val="left" w:pos="360"/>
          <w:tab w:val="left" w:pos="1080"/>
        </w:tabs>
        <w:ind w:left="792"/>
        <w:jc w:val="both"/>
        <w:rPr>
          <w:rFonts w:ascii="Arial" w:hAnsi="Arial" w:cs="Arial"/>
          <w:bCs/>
          <w:sz w:val="22"/>
          <w:szCs w:val="22"/>
        </w:rPr>
      </w:pPr>
    </w:p>
    <w:p w14:paraId="75C8A033" w14:textId="77777777" w:rsidR="00841B60" w:rsidRDefault="00841B60" w:rsidP="00841B60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A7055">
        <w:rPr>
          <w:rFonts w:ascii="Arial" w:hAnsi="Arial" w:cs="Arial"/>
          <w:sz w:val="22"/>
          <w:szCs w:val="22"/>
        </w:rPr>
        <w:t xml:space="preserve">a publisher refuses to proceed with publication </w:t>
      </w:r>
      <w:r>
        <w:rPr>
          <w:rFonts w:ascii="Arial" w:hAnsi="Arial" w:cs="Arial"/>
          <w:sz w:val="22"/>
          <w:szCs w:val="22"/>
        </w:rPr>
        <w:t>u</w:t>
      </w:r>
      <w:r w:rsidRPr="005A7055">
        <w:rPr>
          <w:rFonts w:ascii="Arial" w:hAnsi="Arial" w:cs="Arial"/>
          <w:sz w:val="22"/>
          <w:szCs w:val="22"/>
        </w:rPr>
        <w:t xml:space="preserve">nder the terms set out in this </w:t>
      </w:r>
      <w:r>
        <w:rPr>
          <w:rFonts w:ascii="Arial" w:hAnsi="Arial" w:cs="Arial"/>
          <w:sz w:val="22"/>
          <w:szCs w:val="22"/>
        </w:rPr>
        <w:t>P</w:t>
      </w:r>
      <w:r w:rsidRPr="005A7055">
        <w:rPr>
          <w:rFonts w:ascii="Arial" w:hAnsi="Arial" w:cs="Arial"/>
          <w:sz w:val="22"/>
          <w:szCs w:val="22"/>
        </w:rPr>
        <w:t>olicy</w:t>
      </w:r>
      <w:r>
        <w:rPr>
          <w:rFonts w:ascii="Arial" w:hAnsi="Arial" w:cs="Arial"/>
          <w:sz w:val="22"/>
          <w:szCs w:val="22"/>
        </w:rPr>
        <w:t>; or</w:t>
      </w:r>
    </w:p>
    <w:p w14:paraId="2CB6AC88" w14:textId="77777777" w:rsidR="00841B60" w:rsidRPr="005A7055" w:rsidRDefault="00841B60" w:rsidP="00841B60">
      <w:pPr>
        <w:pStyle w:val="ListParagraph"/>
        <w:tabs>
          <w:tab w:val="left" w:pos="360"/>
          <w:tab w:val="left" w:pos="1080"/>
        </w:tabs>
        <w:ind w:left="1843"/>
        <w:jc w:val="both"/>
        <w:rPr>
          <w:rFonts w:ascii="Arial" w:hAnsi="Arial" w:cs="Arial"/>
          <w:sz w:val="22"/>
          <w:szCs w:val="22"/>
        </w:rPr>
      </w:pPr>
    </w:p>
    <w:p w14:paraId="77059560" w14:textId="77777777" w:rsidR="00841B60" w:rsidRPr="005A7055" w:rsidRDefault="00841B60" w:rsidP="00841B60">
      <w:pPr>
        <w:pStyle w:val="ListParagraph"/>
        <w:numPr>
          <w:ilvl w:val="2"/>
          <w:numId w:val="35"/>
        </w:numPr>
        <w:tabs>
          <w:tab w:val="left" w:pos="360"/>
          <w:tab w:val="left" w:pos="1080"/>
        </w:tabs>
        <w:ind w:left="1843" w:hanging="850"/>
        <w:jc w:val="both"/>
        <w:rPr>
          <w:rFonts w:ascii="Arial" w:hAnsi="Arial" w:cs="Arial"/>
          <w:sz w:val="22"/>
          <w:szCs w:val="22"/>
        </w:rPr>
      </w:pPr>
      <w:r w:rsidRPr="005A7055">
        <w:rPr>
          <w:rFonts w:ascii="Arial" w:hAnsi="Arial" w:cs="Arial"/>
          <w:sz w:val="22"/>
          <w:szCs w:val="22"/>
        </w:rPr>
        <w:t>it is otherwise unsuitable or unfeasible</w:t>
      </w:r>
      <w:r>
        <w:rPr>
          <w:rFonts w:ascii="Arial" w:hAnsi="Arial" w:cs="Arial"/>
          <w:sz w:val="22"/>
          <w:szCs w:val="22"/>
        </w:rPr>
        <w:t xml:space="preserve"> to do so</w:t>
      </w:r>
      <w:r w:rsidRPr="005A7055">
        <w:rPr>
          <w:rFonts w:ascii="Arial" w:hAnsi="Arial" w:cs="Arial"/>
          <w:sz w:val="22"/>
          <w:szCs w:val="22"/>
        </w:rPr>
        <w:t>.</w:t>
      </w:r>
    </w:p>
    <w:p w14:paraId="2C407804" w14:textId="77777777" w:rsidR="00841B60" w:rsidRPr="0042657C" w:rsidRDefault="00841B60" w:rsidP="00841B60">
      <w:pPr>
        <w:pStyle w:val="ListParagraph"/>
        <w:tabs>
          <w:tab w:val="left" w:pos="360"/>
          <w:tab w:val="left" w:pos="1080"/>
        </w:tabs>
        <w:ind w:left="792"/>
        <w:jc w:val="both"/>
        <w:rPr>
          <w:rFonts w:ascii="Arial" w:hAnsi="Arial" w:cs="Arial"/>
          <w:b/>
        </w:rPr>
      </w:pPr>
    </w:p>
    <w:p w14:paraId="4048F9E9" w14:textId="57DEBD28" w:rsidR="00841B60" w:rsidRPr="00623378" w:rsidRDefault="00841B60" w:rsidP="00841B60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Cs/>
        </w:rPr>
      </w:pPr>
      <w:bookmarkStart w:id="3" w:name="_Ref116294816"/>
      <w:r w:rsidRPr="00623378">
        <w:rPr>
          <w:rFonts w:ascii="Arial" w:hAnsi="Arial" w:cs="Arial"/>
          <w:bCs/>
          <w:sz w:val="22"/>
          <w:szCs w:val="22"/>
        </w:rPr>
        <w:t xml:space="preserve">Where a Student or Employee considers that the circumstances detailed </w:t>
      </w:r>
      <w:r>
        <w:rPr>
          <w:rFonts w:ascii="Arial" w:hAnsi="Arial" w:cs="Arial"/>
          <w:bCs/>
          <w:sz w:val="22"/>
          <w:szCs w:val="22"/>
        </w:rPr>
        <w:t xml:space="preserve">at paragraph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REF _Ref116294734 \r \h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536EBD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.1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23378">
        <w:rPr>
          <w:rFonts w:ascii="Arial" w:hAnsi="Arial" w:cs="Arial"/>
          <w:bCs/>
          <w:sz w:val="22"/>
          <w:szCs w:val="22"/>
        </w:rPr>
        <w:t xml:space="preserve">apply, they may submit to </w:t>
      </w:r>
      <w:hyperlink r:id="rId13" w:history="1">
        <w:r w:rsidRPr="00DD07CD">
          <w:rPr>
            <w:rStyle w:val="Hyperlink"/>
            <w:rFonts w:ascii="Arial" w:hAnsi="Arial" w:cs="Arial"/>
            <w:bCs/>
            <w:sz w:val="22"/>
            <w:szCs w:val="22"/>
          </w:rPr>
          <w:t>openresearch@manchester.ac.uk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623378">
        <w:rPr>
          <w:rFonts w:ascii="Arial" w:hAnsi="Arial" w:cs="Arial"/>
          <w:bCs/>
          <w:sz w:val="22"/>
          <w:szCs w:val="22"/>
        </w:rPr>
        <w:t xml:space="preserve">a request that the work need not be deposited and shared in accordance with this </w:t>
      </w:r>
      <w:r>
        <w:rPr>
          <w:rFonts w:ascii="Arial" w:hAnsi="Arial" w:cs="Arial"/>
          <w:bCs/>
          <w:sz w:val="22"/>
          <w:szCs w:val="22"/>
        </w:rPr>
        <w:t>P</w:t>
      </w:r>
      <w:r w:rsidRPr="00623378">
        <w:rPr>
          <w:rFonts w:ascii="Arial" w:hAnsi="Arial" w:cs="Arial"/>
          <w:bCs/>
          <w:sz w:val="22"/>
          <w:szCs w:val="22"/>
        </w:rPr>
        <w:t>olicy, detailing their reasons.</w:t>
      </w:r>
      <w:bookmarkEnd w:id="3"/>
    </w:p>
    <w:p w14:paraId="4AA82BEC" w14:textId="77777777" w:rsidR="00841B60" w:rsidRPr="00EB794F" w:rsidRDefault="00841B60" w:rsidP="00841B60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0A9D321" w14:textId="7D30D010" w:rsidR="00841B60" w:rsidRPr="00C345E3" w:rsidRDefault="00841B60" w:rsidP="00841B60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b/>
        </w:rPr>
      </w:pPr>
      <w:bookmarkStart w:id="4" w:name="_Ref116299775"/>
      <w:r w:rsidRPr="00626C68">
        <w:rPr>
          <w:rFonts w:ascii="Arial" w:hAnsi="Arial" w:cs="Arial"/>
          <w:sz w:val="22"/>
          <w:szCs w:val="22"/>
        </w:rPr>
        <w:t>Any</w:t>
      </w:r>
      <w:r w:rsidRPr="00EB794F">
        <w:rPr>
          <w:rFonts w:ascii="Arial" w:hAnsi="Arial" w:cs="Arial"/>
          <w:bCs/>
          <w:sz w:val="22"/>
          <w:szCs w:val="22"/>
        </w:rPr>
        <w:t xml:space="preserve"> request</w:t>
      </w:r>
      <w:r>
        <w:rPr>
          <w:rFonts w:ascii="Arial" w:hAnsi="Arial" w:cs="Arial"/>
          <w:bCs/>
          <w:sz w:val="22"/>
          <w:szCs w:val="22"/>
        </w:rPr>
        <w:t xml:space="preserve"> under paragraph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REF _Ref116294816 \r \h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9B3731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.2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794F">
        <w:rPr>
          <w:rFonts w:ascii="Arial" w:hAnsi="Arial" w:cs="Arial"/>
          <w:bCs/>
          <w:sz w:val="22"/>
          <w:szCs w:val="22"/>
        </w:rPr>
        <w:t>will be determined within 10 working days.</w:t>
      </w:r>
      <w:r>
        <w:rPr>
          <w:rFonts w:ascii="Arial" w:hAnsi="Arial" w:cs="Arial"/>
          <w:bCs/>
          <w:sz w:val="22"/>
          <w:szCs w:val="22"/>
        </w:rPr>
        <w:t xml:space="preserve"> Any decision will be final.</w:t>
      </w:r>
      <w:bookmarkEnd w:id="4"/>
    </w:p>
    <w:p w14:paraId="1BB15BEF" w14:textId="77777777" w:rsidR="00841B60" w:rsidRPr="00D970BA" w:rsidRDefault="00841B60" w:rsidP="00841B60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36D6781" w14:textId="77777777" w:rsidR="003E5C3E" w:rsidRDefault="003E5C3E" w:rsidP="003E5C3E">
      <w:pPr>
        <w:pStyle w:val="ListParagraph"/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b/>
        </w:rPr>
      </w:pPr>
    </w:p>
    <w:p w14:paraId="0C36F4CD" w14:textId="324D0041" w:rsidR="00C345E3" w:rsidRPr="00C345E3" w:rsidRDefault="00176FEA" w:rsidP="003E5C3E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14:paraId="591B4204" w14:textId="77777777" w:rsidR="00EB794F" w:rsidRPr="00EB794F" w:rsidRDefault="00EB794F" w:rsidP="005250A6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189922ED" w14:textId="7EF447DF" w:rsidR="004B78C6" w:rsidRPr="000E5445" w:rsidRDefault="004B78C6" w:rsidP="006D12CB">
      <w:pPr>
        <w:pStyle w:val="ListParagraph"/>
        <w:numPr>
          <w:ilvl w:val="1"/>
          <w:numId w:val="35"/>
        </w:numPr>
        <w:tabs>
          <w:tab w:val="left" w:pos="426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0E5445">
        <w:rPr>
          <w:rFonts w:ascii="Arial" w:hAnsi="Arial" w:cs="Arial"/>
          <w:sz w:val="22"/>
          <w:szCs w:val="22"/>
        </w:rPr>
        <w:t xml:space="preserve">Any question regarding the interpretation or </w:t>
      </w:r>
      <w:r w:rsidR="001C3AA6" w:rsidRPr="000E5445">
        <w:rPr>
          <w:rFonts w:ascii="Arial" w:hAnsi="Arial" w:cs="Arial"/>
          <w:sz w:val="22"/>
          <w:szCs w:val="22"/>
        </w:rPr>
        <w:t>application</w:t>
      </w:r>
      <w:r w:rsidRPr="000E5445">
        <w:rPr>
          <w:rFonts w:ascii="Arial" w:hAnsi="Arial" w:cs="Arial"/>
          <w:sz w:val="22"/>
          <w:szCs w:val="22"/>
        </w:rPr>
        <w:t xml:space="preserve"> of this Policy, and/or any dispute arising </w:t>
      </w:r>
      <w:r w:rsidR="001C3AA6" w:rsidRPr="000E5445">
        <w:rPr>
          <w:rFonts w:ascii="Arial" w:hAnsi="Arial" w:cs="Arial"/>
          <w:sz w:val="22"/>
          <w:szCs w:val="22"/>
        </w:rPr>
        <w:t>under this Policy, shall be referred to the Library</w:t>
      </w:r>
      <w:r w:rsidR="00194C48">
        <w:rPr>
          <w:rFonts w:ascii="Arial" w:hAnsi="Arial" w:cs="Arial"/>
          <w:sz w:val="22"/>
          <w:szCs w:val="22"/>
        </w:rPr>
        <w:t>, whose decision shall be final</w:t>
      </w:r>
      <w:r w:rsidR="001C3AA6" w:rsidRPr="000E5445">
        <w:rPr>
          <w:rFonts w:ascii="Arial" w:hAnsi="Arial" w:cs="Arial"/>
          <w:sz w:val="22"/>
          <w:szCs w:val="22"/>
        </w:rPr>
        <w:t>.</w:t>
      </w:r>
    </w:p>
    <w:p w14:paraId="35BAC340" w14:textId="77777777" w:rsidR="000E5445" w:rsidRDefault="000E5445" w:rsidP="000E5445">
      <w:pPr>
        <w:pStyle w:val="ListParagraph"/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b/>
        </w:rPr>
      </w:pPr>
    </w:p>
    <w:p w14:paraId="3BA0BDBC" w14:textId="77777777" w:rsidR="00A61A81" w:rsidRPr="00B1676E" w:rsidRDefault="00A61A81" w:rsidP="00DD1007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861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6201"/>
      </w:tblGrid>
      <w:tr w:rsidR="00B8351C" w:rsidRPr="00B1676E" w14:paraId="0C088C84" w14:textId="77777777" w:rsidTr="122079A5">
        <w:trPr>
          <w:trHeight w:val="127"/>
        </w:trPr>
        <w:tc>
          <w:tcPr>
            <w:tcW w:w="8861" w:type="dxa"/>
            <w:gridSpan w:val="3"/>
            <w:shd w:val="clear" w:color="auto" w:fill="D9D9D9" w:themeFill="background1" w:themeFillShade="D9"/>
          </w:tcPr>
          <w:p w14:paraId="209B9750" w14:textId="467B9041" w:rsidR="00B8351C" w:rsidRPr="00B1676E" w:rsidRDefault="00A165DA" w:rsidP="122079A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122079A5">
              <w:rPr>
                <w:b/>
                <w:bCs/>
                <w:color w:val="auto"/>
                <w:sz w:val="22"/>
                <w:szCs w:val="22"/>
              </w:rPr>
              <w:t>V</w:t>
            </w:r>
            <w:r w:rsidR="00B8351C" w:rsidRPr="122079A5">
              <w:rPr>
                <w:b/>
                <w:bCs/>
                <w:color w:val="auto"/>
                <w:sz w:val="22"/>
                <w:szCs w:val="22"/>
              </w:rPr>
              <w:t>ersion amendment history</w:t>
            </w:r>
          </w:p>
        </w:tc>
      </w:tr>
      <w:tr w:rsidR="00B8351C" w:rsidRPr="00B1676E" w14:paraId="5FDDB03B" w14:textId="77777777" w:rsidTr="122079A5">
        <w:trPr>
          <w:trHeight w:val="127"/>
        </w:trPr>
        <w:tc>
          <w:tcPr>
            <w:tcW w:w="1101" w:type="dxa"/>
            <w:shd w:val="clear" w:color="auto" w:fill="D9D9D9" w:themeFill="background1" w:themeFillShade="D9"/>
          </w:tcPr>
          <w:p w14:paraId="3F035D20" w14:textId="77777777" w:rsidR="00B8351C" w:rsidRPr="00B1676E" w:rsidRDefault="00B8351C" w:rsidP="009806D9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Version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185ECD" w14:textId="77777777" w:rsidR="00B8351C" w:rsidRPr="00B1676E" w:rsidRDefault="00B8351C" w:rsidP="009806D9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6201" w:type="dxa"/>
            <w:shd w:val="clear" w:color="auto" w:fill="D9D9D9" w:themeFill="background1" w:themeFillShade="D9"/>
          </w:tcPr>
          <w:p w14:paraId="64F9D7EE" w14:textId="77777777" w:rsidR="00B8351C" w:rsidRPr="00B1676E" w:rsidRDefault="00B8351C" w:rsidP="009806D9">
            <w:pPr>
              <w:pStyle w:val="Default"/>
              <w:rPr>
                <w:color w:val="auto"/>
                <w:sz w:val="22"/>
                <w:szCs w:val="22"/>
              </w:rPr>
            </w:pPr>
            <w:r w:rsidRPr="00B1676E">
              <w:rPr>
                <w:color w:val="auto"/>
                <w:sz w:val="22"/>
                <w:szCs w:val="22"/>
              </w:rPr>
              <w:t xml:space="preserve">Reason for change </w:t>
            </w:r>
          </w:p>
        </w:tc>
      </w:tr>
      <w:tr w:rsidR="00B8351C" w:rsidRPr="00B1676E" w14:paraId="3179791B" w14:textId="77777777" w:rsidTr="122079A5">
        <w:trPr>
          <w:trHeight w:val="126"/>
        </w:trPr>
        <w:tc>
          <w:tcPr>
            <w:tcW w:w="1101" w:type="dxa"/>
          </w:tcPr>
          <w:p w14:paraId="56BEC16A" w14:textId="1F41E1EB" w:rsidR="00B8351C" w:rsidRPr="00B1676E" w:rsidRDefault="00117F55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559" w:type="dxa"/>
          </w:tcPr>
          <w:p w14:paraId="6F0EF49E" w14:textId="299D511F" w:rsidR="00B8351C" w:rsidRPr="00B1676E" w:rsidRDefault="00117F55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April 2016</w:t>
            </w:r>
          </w:p>
        </w:tc>
        <w:tc>
          <w:tcPr>
            <w:tcW w:w="6201" w:type="dxa"/>
          </w:tcPr>
          <w:p w14:paraId="2BCB4DEE" w14:textId="6FBE19FC" w:rsidR="00B8351C" w:rsidRPr="00B1676E" w:rsidRDefault="00117F55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how to request exceptions added in Section 4</w:t>
            </w:r>
          </w:p>
        </w:tc>
      </w:tr>
      <w:tr w:rsidR="00B8351C" w:rsidRPr="00B1676E" w14:paraId="7ADE78E5" w14:textId="77777777" w:rsidTr="122079A5">
        <w:trPr>
          <w:trHeight w:val="126"/>
        </w:trPr>
        <w:tc>
          <w:tcPr>
            <w:tcW w:w="1101" w:type="dxa"/>
          </w:tcPr>
          <w:p w14:paraId="1C27CBE4" w14:textId="552C4F72" w:rsidR="00B8351C" w:rsidRPr="00B1676E" w:rsidRDefault="00117F55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1559" w:type="dxa"/>
          </w:tcPr>
          <w:p w14:paraId="3DC59D74" w14:textId="75217D45" w:rsidR="00B8351C" w:rsidRPr="00B1676E" w:rsidRDefault="00ED2EAB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June 2019</w:t>
            </w:r>
          </w:p>
        </w:tc>
        <w:tc>
          <w:tcPr>
            <w:tcW w:w="6201" w:type="dxa"/>
          </w:tcPr>
          <w:p w14:paraId="61364ABF" w14:textId="1316B673" w:rsidR="00B8351C" w:rsidRPr="00B1676E" w:rsidRDefault="00ED2EAB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funder names</w:t>
            </w:r>
          </w:p>
        </w:tc>
      </w:tr>
      <w:tr w:rsidR="00B8351C" w:rsidRPr="00B1676E" w14:paraId="782B18F3" w14:textId="77777777" w:rsidTr="122079A5">
        <w:trPr>
          <w:trHeight w:val="126"/>
        </w:trPr>
        <w:tc>
          <w:tcPr>
            <w:tcW w:w="1101" w:type="dxa"/>
          </w:tcPr>
          <w:p w14:paraId="43D0DE87" w14:textId="0460730F" w:rsidR="00B8351C" w:rsidRPr="00B1676E" w:rsidRDefault="00ED2EAB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3EF5CC44" w14:textId="04DE8BCB" w:rsidR="00B8351C" w:rsidRPr="00B1676E" w:rsidRDefault="00BF4C58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January 2023</w:t>
            </w:r>
          </w:p>
        </w:tc>
        <w:tc>
          <w:tcPr>
            <w:tcW w:w="6201" w:type="dxa"/>
          </w:tcPr>
          <w:p w14:paraId="76AA23C4" w14:textId="6506BD4B" w:rsidR="00B8351C" w:rsidRPr="00B1676E" w:rsidRDefault="00BF4C58" w:rsidP="009806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Updated to </w:t>
            </w:r>
            <w:r w:rsidR="00453C22">
              <w:rPr>
                <w:sz w:val="22"/>
                <w:szCs w:val="22"/>
              </w:rPr>
              <w:t>support N8 Research Partnership – Statement on Rights Retention</w:t>
            </w:r>
          </w:p>
        </w:tc>
      </w:tr>
    </w:tbl>
    <w:p w14:paraId="28692122" w14:textId="77777777" w:rsidR="00B8351C" w:rsidRPr="00B1676E" w:rsidRDefault="00B8351C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p w14:paraId="6428DCC2" w14:textId="77777777" w:rsidR="005A6936" w:rsidRPr="00B1676E" w:rsidRDefault="005A6936" w:rsidP="00DD1007">
      <w:pPr>
        <w:tabs>
          <w:tab w:val="left" w:pos="360"/>
          <w:tab w:val="left" w:pos="1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5292"/>
      </w:tblGrid>
      <w:tr w:rsidR="00FE5A95" w:rsidRPr="00B1676E" w14:paraId="2574C63F" w14:textId="77777777" w:rsidTr="00B34E9E">
        <w:trPr>
          <w:trHeight w:val="156"/>
        </w:trPr>
        <w:tc>
          <w:tcPr>
            <w:tcW w:w="8885" w:type="dxa"/>
            <w:gridSpan w:val="2"/>
            <w:shd w:val="clear" w:color="auto" w:fill="F2F2F2" w:themeFill="background1" w:themeFillShade="F2"/>
          </w:tcPr>
          <w:p w14:paraId="0EA9DC4A" w14:textId="69C27A43" w:rsidR="00FE5A95" w:rsidRPr="00B1676E" w:rsidRDefault="00137260" w:rsidP="005369F5">
            <w:pPr>
              <w:ind w:left="-119" w:hanging="1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E5A95" w:rsidRPr="00B1676E">
              <w:rPr>
                <w:rFonts w:ascii="Arial" w:hAnsi="Arial" w:cs="Arial"/>
                <w:b/>
                <w:sz w:val="22"/>
                <w:szCs w:val="22"/>
              </w:rPr>
              <w:t>ocument control box</w:t>
            </w:r>
          </w:p>
        </w:tc>
      </w:tr>
      <w:tr w:rsidR="00FE5A95" w:rsidRPr="00B1676E" w14:paraId="18F31663" w14:textId="77777777" w:rsidTr="00B34E9E">
        <w:trPr>
          <w:trHeight w:val="147"/>
        </w:trPr>
        <w:tc>
          <w:tcPr>
            <w:tcW w:w="3593" w:type="dxa"/>
            <w:shd w:val="clear" w:color="auto" w:fill="FFFFFF"/>
          </w:tcPr>
          <w:p w14:paraId="0BE61DAE" w14:textId="77777777" w:rsidR="00FE5A95" w:rsidRPr="00B1676E" w:rsidRDefault="00FE5A95" w:rsidP="009806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Policy / Procedure title:</w:t>
            </w:r>
          </w:p>
        </w:tc>
        <w:tc>
          <w:tcPr>
            <w:tcW w:w="5292" w:type="dxa"/>
            <w:shd w:val="clear" w:color="auto" w:fill="FFFFFF"/>
          </w:tcPr>
          <w:p w14:paraId="160D57EF" w14:textId="104FCD10" w:rsidR="00FE5A95" w:rsidRPr="00B1676E" w:rsidRDefault="00D5193C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Publications Policy</w:t>
            </w:r>
          </w:p>
        </w:tc>
      </w:tr>
      <w:tr w:rsidR="00535C50" w:rsidRPr="00B1676E" w14:paraId="235EB7FA" w14:textId="77777777" w:rsidTr="00B34E9E">
        <w:trPr>
          <w:trHeight w:val="147"/>
        </w:trPr>
        <w:tc>
          <w:tcPr>
            <w:tcW w:w="3593" w:type="dxa"/>
            <w:shd w:val="clear" w:color="auto" w:fill="FFFFFF"/>
          </w:tcPr>
          <w:p w14:paraId="40AE8E09" w14:textId="77777777" w:rsidR="00535C50" w:rsidRPr="00B1676E" w:rsidRDefault="00535C50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Lead contact email</w:t>
            </w:r>
          </w:p>
        </w:tc>
        <w:tc>
          <w:tcPr>
            <w:tcW w:w="5292" w:type="dxa"/>
            <w:shd w:val="clear" w:color="auto" w:fill="FFFFFF"/>
          </w:tcPr>
          <w:p w14:paraId="038BC059" w14:textId="1A7F2F09" w:rsidR="00535C50" w:rsidRPr="00B1676E" w:rsidRDefault="001B1601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scott.taylor@manchester.ac.uk</w:t>
            </w:r>
          </w:p>
        </w:tc>
      </w:tr>
      <w:tr w:rsidR="00FE5A95" w:rsidRPr="00B1676E" w14:paraId="0D5B5463" w14:textId="77777777" w:rsidTr="00B34E9E">
        <w:trPr>
          <w:trHeight w:val="156"/>
        </w:trPr>
        <w:tc>
          <w:tcPr>
            <w:tcW w:w="3593" w:type="dxa"/>
          </w:tcPr>
          <w:p w14:paraId="03C4BAA8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Date updated:</w:t>
            </w:r>
          </w:p>
        </w:tc>
        <w:tc>
          <w:tcPr>
            <w:tcW w:w="5292" w:type="dxa"/>
          </w:tcPr>
          <w:p w14:paraId="2D39616D" w14:textId="336AD9FA" w:rsidR="00FE5A95" w:rsidRPr="00B1676E" w:rsidRDefault="00DF704A" w:rsidP="009806D9">
            <w:pPr>
              <w:rPr>
                <w:rFonts w:ascii="Arial" w:hAnsi="Arial" w:cs="Arial"/>
                <w:sz w:val="22"/>
                <w:szCs w:val="22"/>
                <w:highlight w:val="magenta"/>
              </w:rPr>
            </w:pPr>
            <w:r>
              <w:rPr>
                <w:rFonts w:ascii="Arial" w:hAnsi="Arial" w:cs="Arial"/>
                <w:sz w:val="22"/>
                <w:szCs w:val="22"/>
                <w:highlight w:val="magenta"/>
              </w:rPr>
              <w:t>01 January 2023</w:t>
            </w:r>
          </w:p>
        </w:tc>
      </w:tr>
      <w:tr w:rsidR="00FE5A95" w:rsidRPr="00B1676E" w14:paraId="034D48B4" w14:textId="77777777" w:rsidTr="00B34E9E">
        <w:trPr>
          <w:trHeight w:val="147"/>
        </w:trPr>
        <w:tc>
          <w:tcPr>
            <w:tcW w:w="3593" w:type="dxa"/>
          </w:tcPr>
          <w:p w14:paraId="03C11FE0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Approving body:</w:t>
            </w:r>
          </w:p>
        </w:tc>
        <w:tc>
          <w:tcPr>
            <w:tcW w:w="5292" w:type="dxa"/>
          </w:tcPr>
          <w:p w14:paraId="22F099E9" w14:textId="7567A6CA" w:rsidR="00FE5A95" w:rsidRPr="00B1676E" w:rsidRDefault="00DF704A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</w:tr>
      <w:tr w:rsidR="00FE5A95" w:rsidRPr="00B1676E" w14:paraId="0306C49C" w14:textId="77777777" w:rsidTr="00B34E9E">
        <w:trPr>
          <w:trHeight w:val="156"/>
        </w:trPr>
        <w:tc>
          <w:tcPr>
            <w:tcW w:w="3593" w:type="dxa"/>
          </w:tcPr>
          <w:p w14:paraId="46EAD8B0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Version:</w:t>
            </w:r>
          </w:p>
        </w:tc>
        <w:tc>
          <w:tcPr>
            <w:tcW w:w="5292" w:type="dxa"/>
          </w:tcPr>
          <w:p w14:paraId="3A87B3BA" w14:textId="24BEA21F" w:rsidR="00FE5A95" w:rsidRPr="00B1676E" w:rsidRDefault="00DF704A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</w:tr>
      <w:tr w:rsidR="00FE5A95" w:rsidRPr="00B1676E" w14:paraId="66DDA802" w14:textId="77777777" w:rsidTr="00B34E9E">
        <w:trPr>
          <w:trHeight w:val="147"/>
        </w:trPr>
        <w:tc>
          <w:tcPr>
            <w:tcW w:w="3593" w:type="dxa"/>
          </w:tcPr>
          <w:p w14:paraId="35B14693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Supersedes:</w:t>
            </w:r>
          </w:p>
        </w:tc>
        <w:tc>
          <w:tcPr>
            <w:tcW w:w="5292" w:type="dxa"/>
          </w:tcPr>
          <w:p w14:paraId="6CED4E31" w14:textId="1547C6CB" w:rsidR="00FE5A95" w:rsidRPr="00B1676E" w:rsidRDefault="009061FC" w:rsidP="00D56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  <w:tr w:rsidR="00FE5A95" w:rsidRPr="00B1676E" w14:paraId="65B2C349" w14:textId="77777777" w:rsidTr="00B34E9E">
        <w:trPr>
          <w:trHeight w:val="156"/>
        </w:trPr>
        <w:tc>
          <w:tcPr>
            <w:tcW w:w="3593" w:type="dxa"/>
          </w:tcPr>
          <w:p w14:paraId="60833874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Previous review dates:</w:t>
            </w:r>
          </w:p>
        </w:tc>
        <w:tc>
          <w:tcPr>
            <w:tcW w:w="5292" w:type="dxa"/>
          </w:tcPr>
          <w:p w14:paraId="2519B147" w14:textId="135F4700" w:rsidR="00FE5A95" w:rsidRPr="00B1676E" w:rsidRDefault="00877013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November 2019</w:t>
            </w:r>
          </w:p>
        </w:tc>
      </w:tr>
      <w:tr w:rsidR="00FE5A95" w:rsidRPr="00B1676E" w14:paraId="59490CE4" w14:textId="77777777" w:rsidTr="00B34E9E">
        <w:trPr>
          <w:trHeight w:val="147"/>
        </w:trPr>
        <w:tc>
          <w:tcPr>
            <w:tcW w:w="3593" w:type="dxa"/>
          </w:tcPr>
          <w:p w14:paraId="15FAC733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Next review date:</w:t>
            </w:r>
          </w:p>
        </w:tc>
        <w:tc>
          <w:tcPr>
            <w:tcW w:w="5292" w:type="dxa"/>
          </w:tcPr>
          <w:p w14:paraId="50B8B6C9" w14:textId="77777777" w:rsidR="00FE5A95" w:rsidRPr="00B1676E" w:rsidRDefault="00FE5A95" w:rsidP="00D56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A95" w:rsidRPr="00B1676E" w14:paraId="1F24E2EE" w14:textId="77777777" w:rsidTr="00B34E9E">
        <w:trPr>
          <w:trHeight w:val="147"/>
        </w:trPr>
        <w:tc>
          <w:tcPr>
            <w:tcW w:w="3593" w:type="dxa"/>
          </w:tcPr>
          <w:p w14:paraId="628078CB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Equality impact outcome:</w:t>
            </w:r>
          </w:p>
        </w:tc>
        <w:tc>
          <w:tcPr>
            <w:tcW w:w="5292" w:type="dxa"/>
          </w:tcPr>
          <w:p w14:paraId="75A6E826" w14:textId="6AF5B509" w:rsidR="00FE5A95" w:rsidRPr="00B1676E" w:rsidRDefault="00877013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</w:tr>
      <w:tr w:rsidR="00FE5A95" w:rsidRPr="00B1676E" w14:paraId="69246AF5" w14:textId="77777777" w:rsidTr="00B34E9E">
        <w:trPr>
          <w:trHeight w:val="312"/>
        </w:trPr>
        <w:tc>
          <w:tcPr>
            <w:tcW w:w="3593" w:type="dxa"/>
          </w:tcPr>
          <w:p w14:paraId="6522984E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lastRenderedPageBreak/>
              <w:t xml:space="preserve">Related Statutes, Ordinances, </w:t>
            </w:r>
          </w:p>
          <w:p w14:paraId="7B39CBFD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General Regulations:</w:t>
            </w:r>
          </w:p>
        </w:tc>
        <w:tc>
          <w:tcPr>
            <w:tcW w:w="5292" w:type="dxa"/>
          </w:tcPr>
          <w:p w14:paraId="73539913" w14:textId="5D692662" w:rsidR="00FE5A95" w:rsidRPr="009061FC" w:rsidRDefault="009061FC" w:rsidP="009806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1FC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FE5A95" w:rsidRPr="00B1676E" w14:paraId="41EABB81" w14:textId="77777777" w:rsidTr="00B34E9E">
        <w:trPr>
          <w:trHeight w:val="147"/>
        </w:trPr>
        <w:tc>
          <w:tcPr>
            <w:tcW w:w="3593" w:type="dxa"/>
          </w:tcPr>
          <w:p w14:paraId="352818FD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Related policies</w:t>
            </w:r>
            <w:r w:rsidR="007351B9" w:rsidRPr="00B1676E">
              <w:rPr>
                <w:rFonts w:ascii="Arial" w:hAnsi="Arial" w:cs="Arial"/>
                <w:sz w:val="22"/>
                <w:szCs w:val="22"/>
              </w:rPr>
              <w:t xml:space="preserve">/procedures/guidance </w:t>
            </w:r>
            <w:proofErr w:type="spellStart"/>
            <w:r w:rsidR="007351B9" w:rsidRPr="00B1676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92" w:type="dxa"/>
          </w:tcPr>
          <w:p w14:paraId="5E536F89" w14:textId="2CAE1C81" w:rsidR="00BD72AB" w:rsidRPr="00B1676E" w:rsidRDefault="00D668C1" w:rsidP="007351B9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D72AB" w:rsidRPr="00D15668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of Manchester Position Statement on Open Research</w:t>
              </w:r>
            </w:hyperlink>
          </w:p>
        </w:tc>
      </w:tr>
      <w:tr w:rsidR="00FE5A95" w:rsidRPr="00B1676E" w14:paraId="58DD754D" w14:textId="77777777" w:rsidTr="00B34E9E">
        <w:trPr>
          <w:trHeight w:val="121"/>
        </w:trPr>
        <w:tc>
          <w:tcPr>
            <w:tcW w:w="3593" w:type="dxa"/>
          </w:tcPr>
          <w:p w14:paraId="65280A72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Policy owner:</w:t>
            </w:r>
          </w:p>
        </w:tc>
        <w:tc>
          <w:tcPr>
            <w:tcW w:w="5292" w:type="dxa"/>
          </w:tcPr>
          <w:p w14:paraId="4C25954C" w14:textId="0BF979A2" w:rsidR="00FE5A95" w:rsidRPr="00B1676E" w:rsidRDefault="00FE0392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Colette Fagan (Vice President for Research)</w:t>
            </w:r>
            <w:r w:rsidR="007720C8" w:rsidRPr="00B167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5A95" w:rsidRPr="00B1676E" w14:paraId="2EFE79B1" w14:textId="77777777" w:rsidTr="00B34E9E">
        <w:trPr>
          <w:trHeight w:val="121"/>
        </w:trPr>
        <w:tc>
          <w:tcPr>
            <w:tcW w:w="3593" w:type="dxa"/>
          </w:tcPr>
          <w:p w14:paraId="42E9EC01" w14:textId="77777777" w:rsidR="00FE5A95" w:rsidRPr="00B1676E" w:rsidRDefault="00FE5A95" w:rsidP="009806D9">
            <w:pPr>
              <w:rPr>
                <w:rFonts w:ascii="Arial" w:hAnsi="Arial" w:cs="Arial"/>
                <w:sz w:val="22"/>
                <w:szCs w:val="22"/>
              </w:rPr>
            </w:pPr>
            <w:r w:rsidRPr="00B1676E">
              <w:rPr>
                <w:rFonts w:ascii="Arial" w:hAnsi="Arial" w:cs="Arial"/>
                <w:sz w:val="22"/>
                <w:szCs w:val="22"/>
              </w:rPr>
              <w:t>Lead contact:</w:t>
            </w:r>
          </w:p>
        </w:tc>
        <w:tc>
          <w:tcPr>
            <w:tcW w:w="5292" w:type="dxa"/>
          </w:tcPr>
          <w:p w14:paraId="230FC4D2" w14:textId="74F2051F" w:rsidR="00FE5A95" w:rsidRPr="00B1676E" w:rsidRDefault="00FE0392" w:rsidP="009806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Taylor (Head of the Office for Open Research)</w:t>
            </w:r>
          </w:p>
        </w:tc>
      </w:tr>
    </w:tbl>
    <w:p w14:paraId="738F4720" w14:textId="77777777" w:rsidR="00E379AE" w:rsidRPr="00B1676E" w:rsidRDefault="00E379AE" w:rsidP="007358B9">
      <w:pPr>
        <w:pStyle w:val="BodyText3"/>
        <w:spacing w:line="280" w:lineRule="exact"/>
        <w:rPr>
          <w:rFonts w:ascii="Arial" w:hAnsi="Arial" w:cs="Arial"/>
          <w:b/>
          <w:sz w:val="28"/>
          <w:szCs w:val="28"/>
          <w:lang w:val="en-GB"/>
        </w:rPr>
      </w:pPr>
    </w:p>
    <w:p w14:paraId="5AA88FEF" w14:textId="77777777" w:rsidR="00E01229" w:rsidRPr="00B1676E" w:rsidRDefault="00E01229" w:rsidP="006E6999">
      <w:pPr>
        <w:spacing w:after="120" w:line="280" w:lineRule="exact"/>
        <w:rPr>
          <w:rFonts w:ascii="Arial" w:hAnsi="Arial" w:cs="Arial"/>
        </w:rPr>
      </w:pPr>
    </w:p>
    <w:sectPr w:rsidR="00E01229" w:rsidRPr="00B1676E" w:rsidSect="00C961CC">
      <w:headerReference w:type="default" r:id="rId15"/>
      <w:footerReference w:type="default" r:id="rId16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255" w14:textId="77777777" w:rsidR="00906D72" w:rsidRDefault="00906D72">
      <w:r>
        <w:separator/>
      </w:r>
    </w:p>
  </w:endnote>
  <w:endnote w:type="continuationSeparator" w:id="0">
    <w:p w14:paraId="1F191DE7" w14:textId="77777777" w:rsidR="00906D72" w:rsidRDefault="00906D72">
      <w:r>
        <w:continuationSeparator/>
      </w:r>
    </w:p>
  </w:endnote>
  <w:endnote w:type="continuationNotice" w:id="1">
    <w:p w14:paraId="1B89CE50" w14:textId="77777777" w:rsidR="00906D72" w:rsidRDefault="00906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F1A6" w14:textId="546F2064" w:rsidR="00CE75CD" w:rsidRPr="00E00311" w:rsidRDefault="122079A5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122079A5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</w:p>
  <w:p w14:paraId="5B4E4E8F" w14:textId="77777777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6628BB4F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E6B" w14:textId="77777777" w:rsidR="00906D72" w:rsidRDefault="00906D72">
      <w:r>
        <w:separator/>
      </w:r>
    </w:p>
  </w:footnote>
  <w:footnote w:type="continuationSeparator" w:id="0">
    <w:p w14:paraId="7E6145B3" w14:textId="77777777" w:rsidR="00906D72" w:rsidRDefault="00906D72">
      <w:r>
        <w:continuationSeparator/>
      </w:r>
    </w:p>
  </w:footnote>
  <w:footnote w:type="continuationNotice" w:id="1">
    <w:p w14:paraId="680FB317" w14:textId="77777777" w:rsidR="00906D72" w:rsidRDefault="00906D72"/>
  </w:footnote>
  <w:footnote w:id="2">
    <w:p w14:paraId="03753CF5" w14:textId="34269DBE" w:rsidR="00525E7E" w:rsidRDefault="00525E7E" w:rsidP="00D7423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D7423E">
        <w:tab/>
      </w:r>
      <w:hyperlink r:id="rId1" w:history="1">
        <w:r w:rsidR="00D7423E" w:rsidRPr="00D7423E">
          <w:rPr>
            <w:rStyle w:val="Hyperlink"/>
          </w:rPr>
          <w:t>https://www.openresearch.manchester.ac.uk/about-us/position-statement/</w:t>
        </w:r>
      </w:hyperlink>
      <w:r w:rsidR="00D7423E">
        <w:t xml:space="preserve"> </w:t>
      </w:r>
    </w:p>
  </w:footnote>
  <w:footnote w:id="3">
    <w:p w14:paraId="25D12D33" w14:textId="514244D1" w:rsidR="00D7423E" w:rsidRDefault="00D7423E" w:rsidP="00945A8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945A8E">
        <w:tab/>
      </w:r>
      <w:hyperlink r:id="rId2" w:history="1">
        <w:r w:rsidR="00945A8E" w:rsidRPr="00DD07CD">
          <w:rPr>
            <w:rStyle w:val="Hyperlink"/>
          </w:rPr>
          <w:t>https://documents.manchester.ac.uk/display.aspx?DocID=24420</w:t>
        </w:r>
      </w:hyperlink>
      <w:r w:rsidR="00945A8E">
        <w:t xml:space="preserve"> </w:t>
      </w:r>
    </w:p>
  </w:footnote>
  <w:footnote w:id="4">
    <w:p w14:paraId="0454B72E" w14:textId="4F89D82F" w:rsidR="00945A8E" w:rsidRDefault="00945A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D4D27">
        <w:t xml:space="preserve">        </w:t>
      </w:r>
      <w:hyperlink r:id="rId3" w:history="1">
        <w:r w:rsidR="00CD4D27" w:rsidRPr="00DE5079">
          <w:rPr>
            <w:rStyle w:val="Hyperlink"/>
          </w:rPr>
          <w:t>https://www.openresearch.manchester.ac.uk/</w:t>
        </w:r>
      </w:hyperlink>
      <w:r w:rsidR="00CD4D2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EA8C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2607D56D" w14:textId="5B6CC353" w:rsidR="00CE75CD" w:rsidRPr="00FA34FB" w:rsidRDefault="00896452" w:rsidP="00FA34FB">
    <w:pPr>
      <w:jc w:val="right"/>
      <w:rPr>
        <w:rFonts w:ascii="Arial" w:hAnsi="Arial" w:cs="Arial"/>
        <w:bCs/>
        <w:color w:val="808080"/>
        <w:sz w:val="20"/>
        <w:szCs w:val="20"/>
      </w:rPr>
    </w:pPr>
    <w:r>
      <w:rPr>
        <w:rFonts w:ascii="Arial" w:hAnsi="Arial" w:cs="Arial"/>
        <w:bCs/>
        <w:color w:val="808080"/>
        <w:sz w:val="20"/>
        <w:szCs w:val="20"/>
      </w:rPr>
      <w:t>P</w:t>
    </w:r>
    <w:r w:rsidR="00610C0B">
      <w:rPr>
        <w:rFonts w:ascii="Arial" w:hAnsi="Arial" w:cs="Arial"/>
        <w:bCs/>
        <w:color w:val="808080"/>
        <w:sz w:val="20"/>
        <w:szCs w:val="20"/>
      </w:rPr>
      <w:t>ublications Policy</w:t>
    </w:r>
  </w:p>
  <w:p w14:paraId="159384E7" w14:textId="77777777" w:rsidR="00CE75CD" w:rsidRPr="00FA34FB" w:rsidRDefault="00CE75CD" w:rsidP="00FA34F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A7"/>
    <w:multiLevelType w:val="multilevel"/>
    <w:tmpl w:val="594413E6"/>
    <w:styleLink w:val="CurrentList3"/>
    <w:lvl w:ilvl="0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186F"/>
    <w:multiLevelType w:val="hybridMultilevel"/>
    <w:tmpl w:val="5EAED0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F3F61"/>
    <w:multiLevelType w:val="hybridMultilevel"/>
    <w:tmpl w:val="F668AECA"/>
    <w:lvl w:ilvl="0" w:tplc="3112E47C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55DA9"/>
    <w:multiLevelType w:val="multilevel"/>
    <w:tmpl w:val="E4F07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911DC"/>
    <w:multiLevelType w:val="hybridMultilevel"/>
    <w:tmpl w:val="D9F04BB4"/>
    <w:lvl w:ilvl="0" w:tplc="08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 w15:restartNumberingAfterBreak="0">
    <w:nsid w:val="23B76779"/>
    <w:multiLevelType w:val="multilevel"/>
    <w:tmpl w:val="8C2628F8"/>
    <w:styleLink w:val="CurrentList2"/>
    <w:lvl w:ilvl="0"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703BED"/>
    <w:multiLevelType w:val="multilevel"/>
    <w:tmpl w:val="8766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456F3"/>
    <w:multiLevelType w:val="hybridMultilevel"/>
    <w:tmpl w:val="F668AECA"/>
    <w:lvl w:ilvl="0" w:tplc="FFFFFFFF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540C7"/>
    <w:multiLevelType w:val="multilevel"/>
    <w:tmpl w:val="27FC5372"/>
    <w:styleLink w:val="CurrentList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B461C9"/>
    <w:multiLevelType w:val="hybridMultilevel"/>
    <w:tmpl w:val="136087C6"/>
    <w:lvl w:ilvl="0" w:tplc="FFFFFFFF">
      <w:start w:val="1"/>
      <w:numFmt w:val="lowerLetter"/>
      <w:lvlText w:val="(%1)"/>
      <w:lvlJc w:val="left"/>
      <w:pPr>
        <w:ind w:left="19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20588">
    <w:abstractNumId w:val="21"/>
  </w:num>
  <w:num w:numId="2" w16cid:durableId="1071080812">
    <w:abstractNumId w:val="11"/>
  </w:num>
  <w:num w:numId="3" w16cid:durableId="707026175">
    <w:abstractNumId w:val="4"/>
  </w:num>
  <w:num w:numId="4" w16cid:durableId="1236479792">
    <w:abstractNumId w:val="30"/>
  </w:num>
  <w:num w:numId="5" w16cid:durableId="257063693">
    <w:abstractNumId w:val="15"/>
  </w:num>
  <w:num w:numId="6" w16cid:durableId="1747796714">
    <w:abstractNumId w:val="28"/>
  </w:num>
  <w:num w:numId="7" w16cid:durableId="47148581">
    <w:abstractNumId w:val="7"/>
  </w:num>
  <w:num w:numId="8" w16cid:durableId="1216160103">
    <w:abstractNumId w:val="13"/>
  </w:num>
  <w:num w:numId="9" w16cid:durableId="1128353401">
    <w:abstractNumId w:val="23"/>
  </w:num>
  <w:num w:numId="10" w16cid:durableId="1693411817">
    <w:abstractNumId w:val="23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343828669">
    <w:abstractNumId w:val="23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1644580072">
    <w:abstractNumId w:val="23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1858040839">
    <w:abstractNumId w:val="23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391344380">
    <w:abstractNumId w:val="13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1686127220">
    <w:abstractNumId w:val="13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288050414">
    <w:abstractNumId w:val="13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396392217">
    <w:abstractNumId w:val="1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216352663">
    <w:abstractNumId w:val="13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28383808">
    <w:abstractNumId w:val="1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322000628">
    <w:abstractNumId w:val="1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363168605">
    <w:abstractNumId w:val="24"/>
  </w:num>
  <w:num w:numId="22" w16cid:durableId="1918057752">
    <w:abstractNumId w:val="14"/>
  </w:num>
  <w:num w:numId="23" w16cid:durableId="535048815">
    <w:abstractNumId w:val="22"/>
  </w:num>
  <w:num w:numId="24" w16cid:durableId="1771973382">
    <w:abstractNumId w:val="29"/>
  </w:num>
  <w:num w:numId="25" w16cid:durableId="215120183">
    <w:abstractNumId w:val="5"/>
  </w:num>
  <w:num w:numId="26" w16cid:durableId="1648514681">
    <w:abstractNumId w:val="12"/>
  </w:num>
  <w:num w:numId="27" w16cid:durableId="873274011">
    <w:abstractNumId w:val="26"/>
  </w:num>
  <w:num w:numId="28" w16cid:durableId="1333800323">
    <w:abstractNumId w:val="1"/>
  </w:num>
  <w:num w:numId="29" w16cid:durableId="322975038">
    <w:abstractNumId w:val="19"/>
  </w:num>
  <w:num w:numId="30" w16cid:durableId="976564866">
    <w:abstractNumId w:val="27"/>
  </w:num>
  <w:num w:numId="31" w16cid:durableId="1546794710">
    <w:abstractNumId w:val="6"/>
  </w:num>
  <w:num w:numId="32" w16cid:durableId="442262366">
    <w:abstractNumId w:val="18"/>
  </w:num>
  <w:num w:numId="33" w16cid:durableId="1489401893">
    <w:abstractNumId w:val="17"/>
  </w:num>
  <w:num w:numId="34" w16cid:durableId="2006936043">
    <w:abstractNumId w:val="32"/>
  </w:num>
  <w:num w:numId="35" w16cid:durableId="847135307">
    <w:abstractNumId w:val="16"/>
  </w:num>
  <w:num w:numId="36" w16cid:durableId="1668945404">
    <w:abstractNumId w:val="2"/>
  </w:num>
  <w:num w:numId="37" w16cid:durableId="1439957227">
    <w:abstractNumId w:val="25"/>
  </w:num>
  <w:num w:numId="38" w16cid:durableId="1282034253">
    <w:abstractNumId w:val="9"/>
  </w:num>
  <w:num w:numId="39" w16cid:durableId="1249315425">
    <w:abstractNumId w:val="3"/>
  </w:num>
  <w:num w:numId="40" w16cid:durableId="1284072135">
    <w:abstractNumId w:val="10"/>
  </w:num>
  <w:num w:numId="41" w16cid:durableId="2076052634">
    <w:abstractNumId w:val="0"/>
  </w:num>
  <w:num w:numId="42" w16cid:durableId="956982750">
    <w:abstractNumId w:val="31"/>
  </w:num>
  <w:num w:numId="43" w16cid:durableId="1755205907">
    <w:abstractNumId w:val="20"/>
  </w:num>
  <w:num w:numId="44" w16cid:durableId="355235652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565"/>
    <w:rsid w:val="00004AE7"/>
    <w:rsid w:val="00005D6F"/>
    <w:rsid w:val="000067F2"/>
    <w:rsid w:val="0001187B"/>
    <w:rsid w:val="00013F7A"/>
    <w:rsid w:val="0001684F"/>
    <w:rsid w:val="00020DA0"/>
    <w:rsid w:val="00027D19"/>
    <w:rsid w:val="0003073E"/>
    <w:rsid w:val="00030F7E"/>
    <w:rsid w:val="00032E13"/>
    <w:rsid w:val="00033F9B"/>
    <w:rsid w:val="00035B8C"/>
    <w:rsid w:val="000371C8"/>
    <w:rsid w:val="00041F46"/>
    <w:rsid w:val="00043388"/>
    <w:rsid w:val="000438AC"/>
    <w:rsid w:val="00043A4D"/>
    <w:rsid w:val="00044669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27F8"/>
    <w:rsid w:val="00065656"/>
    <w:rsid w:val="0006709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09EC"/>
    <w:rsid w:val="00091C12"/>
    <w:rsid w:val="00091EF4"/>
    <w:rsid w:val="0009220B"/>
    <w:rsid w:val="000922A2"/>
    <w:rsid w:val="00092887"/>
    <w:rsid w:val="00095A89"/>
    <w:rsid w:val="000A04FC"/>
    <w:rsid w:val="000A124D"/>
    <w:rsid w:val="000A1D3E"/>
    <w:rsid w:val="000A2DF2"/>
    <w:rsid w:val="000A3F41"/>
    <w:rsid w:val="000A5770"/>
    <w:rsid w:val="000A645E"/>
    <w:rsid w:val="000A66C8"/>
    <w:rsid w:val="000A6B37"/>
    <w:rsid w:val="000A726A"/>
    <w:rsid w:val="000A744A"/>
    <w:rsid w:val="000A75D0"/>
    <w:rsid w:val="000B09EA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42E8"/>
    <w:rsid w:val="000E5445"/>
    <w:rsid w:val="000E643B"/>
    <w:rsid w:val="000E673A"/>
    <w:rsid w:val="000E7CF2"/>
    <w:rsid w:val="000F05F0"/>
    <w:rsid w:val="000F1538"/>
    <w:rsid w:val="000F230D"/>
    <w:rsid w:val="000F3750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17F55"/>
    <w:rsid w:val="00120461"/>
    <w:rsid w:val="00120EA5"/>
    <w:rsid w:val="00124A22"/>
    <w:rsid w:val="00126030"/>
    <w:rsid w:val="001277F1"/>
    <w:rsid w:val="0013085D"/>
    <w:rsid w:val="0013140F"/>
    <w:rsid w:val="00133F1C"/>
    <w:rsid w:val="0013480A"/>
    <w:rsid w:val="0013500A"/>
    <w:rsid w:val="00137260"/>
    <w:rsid w:val="001376D1"/>
    <w:rsid w:val="00140078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369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76FEA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C48"/>
    <w:rsid w:val="00194E24"/>
    <w:rsid w:val="001962F8"/>
    <w:rsid w:val="001A111A"/>
    <w:rsid w:val="001A3371"/>
    <w:rsid w:val="001A4D2D"/>
    <w:rsid w:val="001A786C"/>
    <w:rsid w:val="001B1601"/>
    <w:rsid w:val="001B1DA6"/>
    <w:rsid w:val="001B2294"/>
    <w:rsid w:val="001B2D30"/>
    <w:rsid w:val="001B39EB"/>
    <w:rsid w:val="001B5B14"/>
    <w:rsid w:val="001B6BA0"/>
    <w:rsid w:val="001C0214"/>
    <w:rsid w:val="001C17AB"/>
    <w:rsid w:val="001C28A2"/>
    <w:rsid w:val="001C297F"/>
    <w:rsid w:val="001C3AA6"/>
    <w:rsid w:val="001C3EB8"/>
    <w:rsid w:val="001C6AC5"/>
    <w:rsid w:val="001C747B"/>
    <w:rsid w:val="001D16F7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8E4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6336"/>
    <w:rsid w:val="00257F7D"/>
    <w:rsid w:val="00261EF5"/>
    <w:rsid w:val="00263403"/>
    <w:rsid w:val="00266856"/>
    <w:rsid w:val="0026713C"/>
    <w:rsid w:val="00270A1B"/>
    <w:rsid w:val="00271EBB"/>
    <w:rsid w:val="00274514"/>
    <w:rsid w:val="00276B4E"/>
    <w:rsid w:val="002803B0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5842"/>
    <w:rsid w:val="002B63F9"/>
    <w:rsid w:val="002C7E2A"/>
    <w:rsid w:val="002D00FB"/>
    <w:rsid w:val="002D0952"/>
    <w:rsid w:val="002D1C3D"/>
    <w:rsid w:val="002D7938"/>
    <w:rsid w:val="002D7E31"/>
    <w:rsid w:val="002E2D45"/>
    <w:rsid w:val="002E4B85"/>
    <w:rsid w:val="002E53D4"/>
    <w:rsid w:val="002E5D44"/>
    <w:rsid w:val="002E6413"/>
    <w:rsid w:val="002F0DD9"/>
    <w:rsid w:val="002F1E30"/>
    <w:rsid w:val="002F354A"/>
    <w:rsid w:val="002F7791"/>
    <w:rsid w:val="002F77D3"/>
    <w:rsid w:val="003003BB"/>
    <w:rsid w:val="0030092F"/>
    <w:rsid w:val="0030427C"/>
    <w:rsid w:val="0030581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5DE9"/>
    <w:rsid w:val="00336073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47CA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4B39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97C0B"/>
    <w:rsid w:val="003A14FB"/>
    <w:rsid w:val="003A17E2"/>
    <w:rsid w:val="003A2244"/>
    <w:rsid w:val="003A45E8"/>
    <w:rsid w:val="003A4834"/>
    <w:rsid w:val="003A6DF5"/>
    <w:rsid w:val="003B0127"/>
    <w:rsid w:val="003B034E"/>
    <w:rsid w:val="003B0AF6"/>
    <w:rsid w:val="003B4A69"/>
    <w:rsid w:val="003B5D50"/>
    <w:rsid w:val="003B751D"/>
    <w:rsid w:val="003B752A"/>
    <w:rsid w:val="003B7915"/>
    <w:rsid w:val="003B7B71"/>
    <w:rsid w:val="003C0183"/>
    <w:rsid w:val="003C351E"/>
    <w:rsid w:val="003D215A"/>
    <w:rsid w:val="003D3FA4"/>
    <w:rsid w:val="003D46B0"/>
    <w:rsid w:val="003D6C6B"/>
    <w:rsid w:val="003D7740"/>
    <w:rsid w:val="003D7C6C"/>
    <w:rsid w:val="003D7C94"/>
    <w:rsid w:val="003E0551"/>
    <w:rsid w:val="003E124F"/>
    <w:rsid w:val="003E1C59"/>
    <w:rsid w:val="003E1D8C"/>
    <w:rsid w:val="003E3216"/>
    <w:rsid w:val="003E53D5"/>
    <w:rsid w:val="003E5C3E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2FAA"/>
    <w:rsid w:val="00413D7B"/>
    <w:rsid w:val="00417B0B"/>
    <w:rsid w:val="00420C6D"/>
    <w:rsid w:val="0042657C"/>
    <w:rsid w:val="00426EB3"/>
    <w:rsid w:val="004273E1"/>
    <w:rsid w:val="00430636"/>
    <w:rsid w:val="00433230"/>
    <w:rsid w:val="004335AA"/>
    <w:rsid w:val="00436180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2C94"/>
    <w:rsid w:val="00453C22"/>
    <w:rsid w:val="00455FFD"/>
    <w:rsid w:val="00456902"/>
    <w:rsid w:val="00456A9D"/>
    <w:rsid w:val="004624ED"/>
    <w:rsid w:val="004630F2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35CC"/>
    <w:rsid w:val="00493D86"/>
    <w:rsid w:val="004A00CF"/>
    <w:rsid w:val="004A018B"/>
    <w:rsid w:val="004A33A4"/>
    <w:rsid w:val="004A3C83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8C6"/>
    <w:rsid w:val="004B7ADF"/>
    <w:rsid w:val="004C1652"/>
    <w:rsid w:val="004C29C4"/>
    <w:rsid w:val="004C68F4"/>
    <w:rsid w:val="004C73B9"/>
    <w:rsid w:val="004C7C46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3E51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07BE0"/>
    <w:rsid w:val="00510A54"/>
    <w:rsid w:val="00510F6F"/>
    <w:rsid w:val="00511B9F"/>
    <w:rsid w:val="00511DE6"/>
    <w:rsid w:val="005123D9"/>
    <w:rsid w:val="00512EDA"/>
    <w:rsid w:val="00513E1C"/>
    <w:rsid w:val="0051447D"/>
    <w:rsid w:val="005160E6"/>
    <w:rsid w:val="00520766"/>
    <w:rsid w:val="005217E2"/>
    <w:rsid w:val="00522778"/>
    <w:rsid w:val="00523E07"/>
    <w:rsid w:val="005241FB"/>
    <w:rsid w:val="00524F71"/>
    <w:rsid w:val="005250A6"/>
    <w:rsid w:val="00525437"/>
    <w:rsid w:val="00525E7E"/>
    <w:rsid w:val="005278E2"/>
    <w:rsid w:val="005301DE"/>
    <w:rsid w:val="00530BF0"/>
    <w:rsid w:val="005328D9"/>
    <w:rsid w:val="00535C50"/>
    <w:rsid w:val="005369F5"/>
    <w:rsid w:val="00536AD0"/>
    <w:rsid w:val="00536EBD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772"/>
    <w:rsid w:val="00546960"/>
    <w:rsid w:val="0054737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1E8E"/>
    <w:rsid w:val="00583FA6"/>
    <w:rsid w:val="00584EE0"/>
    <w:rsid w:val="00586A1C"/>
    <w:rsid w:val="00587E01"/>
    <w:rsid w:val="00590C95"/>
    <w:rsid w:val="00590D21"/>
    <w:rsid w:val="005921E4"/>
    <w:rsid w:val="0059280F"/>
    <w:rsid w:val="00592ED7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A7055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4795"/>
    <w:rsid w:val="005E76C9"/>
    <w:rsid w:val="005E7DE8"/>
    <w:rsid w:val="005F1360"/>
    <w:rsid w:val="005F1621"/>
    <w:rsid w:val="005F1764"/>
    <w:rsid w:val="005F1CBB"/>
    <w:rsid w:val="005F2578"/>
    <w:rsid w:val="005F4D19"/>
    <w:rsid w:val="005F5300"/>
    <w:rsid w:val="005F5DC7"/>
    <w:rsid w:val="005F6BBA"/>
    <w:rsid w:val="0060014B"/>
    <w:rsid w:val="00602CE4"/>
    <w:rsid w:val="00603A86"/>
    <w:rsid w:val="00605DD7"/>
    <w:rsid w:val="00606881"/>
    <w:rsid w:val="00607986"/>
    <w:rsid w:val="00607D73"/>
    <w:rsid w:val="00610C0B"/>
    <w:rsid w:val="00610E42"/>
    <w:rsid w:val="00614711"/>
    <w:rsid w:val="006167C0"/>
    <w:rsid w:val="0062057E"/>
    <w:rsid w:val="00620CCE"/>
    <w:rsid w:val="00620D7C"/>
    <w:rsid w:val="0062132B"/>
    <w:rsid w:val="00622119"/>
    <w:rsid w:val="00622A6E"/>
    <w:rsid w:val="00622BD0"/>
    <w:rsid w:val="00623378"/>
    <w:rsid w:val="0062395B"/>
    <w:rsid w:val="006244A1"/>
    <w:rsid w:val="00624796"/>
    <w:rsid w:val="00624D77"/>
    <w:rsid w:val="00625DE0"/>
    <w:rsid w:val="00626C68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43C4"/>
    <w:rsid w:val="0069653E"/>
    <w:rsid w:val="00696B8D"/>
    <w:rsid w:val="00696FC6"/>
    <w:rsid w:val="006A2555"/>
    <w:rsid w:val="006A5600"/>
    <w:rsid w:val="006A61EE"/>
    <w:rsid w:val="006A7135"/>
    <w:rsid w:val="006A7187"/>
    <w:rsid w:val="006B1C70"/>
    <w:rsid w:val="006B3D6A"/>
    <w:rsid w:val="006B71EB"/>
    <w:rsid w:val="006B7426"/>
    <w:rsid w:val="006C03CC"/>
    <w:rsid w:val="006C26A8"/>
    <w:rsid w:val="006C48B4"/>
    <w:rsid w:val="006C4DB1"/>
    <w:rsid w:val="006C6BA5"/>
    <w:rsid w:val="006C7125"/>
    <w:rsid w:val="006D0443"/>
    <w:rsid w:val="006D09D9"/>
    <w:rsid w:val="006D0BB8"/>
    <w:rsid w:val="006D12CB"/>
    <w:rsid w:val="006D16E7"/>
    <w:rsid w:val="006D4629"/>
    <w:rsid w:val="006D47D0"/>
    <w:rsid w:val="006D7535"/>
    <w:rsid w:val="006E33F2"/>
    <w:rsid w:val="006E3F13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190B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123C"/>
    <w:rsid w:val="00732A54"/>
    <w:rsid w:val="00734175"/>
    <w:rsid w:val="007343B7"/>
    <w:rsid w:val="0073495F"/>
    <w:rsid w:val="007351AB"/>
    <w:rsid w:val="007351B9"/>
    <w:rsid w:val="007358B9"/>
    <w:rsid w:val="00736035"/>
    <w:rsid w:val="0073662D"/>
    <w:rsid w:val="00736A4A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B6"/>
    <w:rsid w:val="007565F9"/>
    <w:rsid w:val="0075687C"/>
    <w:rsid w:val="00756E96"/>
    <w:rsid w:val="007571B1"/>
    <w:rsid w:val="0076143D"/>
    <w:rsid w:val="00762634"/>
    <w:rsid w:val="0076364C"/>
    <w:rsid w:val="007639D2"/>
    <w:rsid w:val="00763F4C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4F26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177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773"/>
    <w:rsid w:val="007D2C3F"/>
    <w:rsid w:val="007D3D16"/>
    <w:rsid w:val="007D48D2"/>
    <w:rsid w:val="007D4B29"/>
    <w:rsid w:val="007D71ED"/>
    <w:rsid w:val="007E0014"/>
    <w:rsid w:val="007E0327"/>
    <w:rsid w:val="007E07E7"/>
    <w:rsid w:val="007E0ECD"/>
    <w:rsid w:val="007E1A78"/>
    <w:rsid w:val="007E45F4"/>
    <w:rsid w:val="007E5652"/>
    <w:rsid w:val="007E621D"/>
    <w:rsid w:val="007F1F01"/>
    <w:rsid w:val="007F22F4"/>
    <w:rsid w:val="007F3411"/>
    <w:rsid w:val="007F3F19"/>
    <w:rsid w:val="007F51DC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3775B"/>
    <w:rsid w:val="00841B60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013"/>
    <w:rsid w:val="00877333"/>
    <w:rsid w:val="00877A96"/>
    <w:rsid w:val="008806EB"/>
    <w:rsid w:val="0088100C"/>
    <w:rsid w:val="00881C31"/>
    <w:rsid w:val="0088309C"/>
    <w:rsid w:val="008839D4"/>
    <w:rsid w:val="0088475B"/>
    <w:rsid w:val="00884FFD"/>
    <w:rsid w:val="00886E76"/>
    <w:rsid w:val="0088710F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B6E82"/>
    <w:rsid w:val="008B7969"/>
    <w:rsid w:val="008C121E"/>
    <w:rsid w:val="008C15FB"/>
    <w:rsid w:val="008C287E"/>
    <w:rsid w:val="008C3721"/>
    <w:rsid w:val="008C5F2A"/>
    <w:rsid w:val="008C68B3"/>
    <w:rsid w:val="008C74EF"/>
    <w:rsid w:val="008D0204"/>
    <w:rsid w:val="008D13F1"/>
    <w:rsid w:val="008D753C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5209"/>
    <w:rsid w:val="008F6C6E"/>
    <w:rsid w:val="008F6F87"/>
    <w:rsid w:val="008F78A9"/>
    <w:rsid w:val="008F7CDD"/>
    <w:rsid w:val="009018D7"/>
    <w:rsid w:val="00902512"/>
    <w:rsid w:val="009049CA"/>
    <w:rsid w:val="00905DC9"/>
    <w:rsid w:val="009061FC"/>
    <w:rsid w:val="00906D72"/>
    <w:rsid w:val="00906E07"/>
    <w:rsid w:val="00910578"/>
    <w:rsid w:val="0091093C"/>
    <w:rsid w:val="00910B88"/>
    <w:rsid w:val="00910E89"/>
    <w:rsid w:val="009140FF"/>
    <w:rsid w:val="009163EA"/>
    <w:rsid w:val="00916AE4"/>
    <w:rsid w:val="00922241"/>
    <w:rsid w:val="00922C20"/>
    <w:rsid w:val="009231A2"/>
    <w:rsid w:val="009231F8"/>
    <w:rsid w:val="00923211"/>
    <w:rsid w:val="00924587"/>
    <w:rsid w:val="00924DBA"/>
    <w:rsid w:val="009260C1"/>
    <w:rsid w:val="009263C3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434C"/>
    <w:rsid w:val="00945A8E"/>
    <w:rsid w:val="00946B1A"/>
    <w:rsid w:val="00950172"/>
    <w:rsid w:val="00951133"/>
    <w:rsid w:val="0095151B"/>
    <w:rsid w:val="009518A7"/>
    <w:rsid w:val="0095221D"/>
    <w:rsid w:val="00952B6B"/>
    <w:rsid w:val="0095328D"/>
    <w:rsid w:val="0095356D"/>
    <w:rsid w:val="00953CEE"/>
    <w:rsid w:val="00957B9F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7786A"/>
    <w:rsid w:val="009806D9"/>
    <w:rsid w:val="00982585"/>
    <w:rsid w:val="00982D71"/>
    <w:rsid w:val="009859FE"/>
    <w:rsid w:val="00985B80"/>
    <w:rsid w:val="00986993"/>
    <w:rsid w:val="009905C4"/>
    <w:rsid w:val="0099089E"/>
    <w:rsid w:val="00991ED7"/>
    <w:rsid w:val="00993508"/>
    <w:rsid w:val="009941E7"/>
    <w:rsid w:val="00995C0C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5867"/>
    <w:rsid w:val="009A6E0A"/>
    <w:rsid w:val="009A77A9"/>
    <w:rsid w:val="009B110C"/>
    <w:rsid w:val="009B1D09"/>
    <w:rsid w:val="009B204F"/>
    <w:rsid w:val="009B3351"/>
    <w:rsid w:val="009B373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3412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92E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0CA3"/>
    <w:rsid w:val="00A1154E"/>
    <w:rsid w:val="00A1285C"/>
    <w:rsid w:val="00A13814"/>
    <w:rsid w:val="00A139BA"/>
    <w:rsid w:val="00A14809"/>
    <w:rsid w:val="00A15051"/>
    <w:rsid w:val="00A1526B"/>
    <w:rsid w:val="00A1552A"/>
    <w:rsid w:val="00A165DA"/>
    <w:rsid w:val="00A17B34"/>
    <w:rsid w:val="00A212F5"/>
    <w:rsid w:val="00A21BA7"/>
    <w:rsid w:val="00A23F61"/>
    <w:rsid w:val="00A31374"/>
    <w:rsid w:val="00A337FD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85A"/>
    <w:rsid w:val="00A51BB2"/>
    <w:rsid w:val="00A52C9C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7F5"/>
    <w:rsid w:val="00A91B98"/>
    <w:rsid w:val="00A91DAF"/>
    <w:rsid w:val="00A93003"/>
    <w:rsid w:val="00A949B8"/>
    <w:rsid w:val="00A9507D"/>
    <w:rsid w:val="00A95392"/>
    <w:rsid w:val="00A96EE2"/>
    <w:rsid w:val="00AA2C29"/>
    <w:rsid w:val="00AA2C5B"/>
    <w:rsid w:val="00AA44D8"/>
    <w:rsid w:val="00AA5306"/>
    <w:rsid w:val="00AA6638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C77B0"/>
    <w:rsid w:val="00AD1FB7"/>
    <w:rsid w:val="00AD4FB2"/>
    <w:rsid w:val="00AD5382"/>
    <w:rsid w:val="00AD62F1"/>
    <w:rsid w:val="00AD6740"/>
    <w:rsid w:val="00AD7587"/>
    <w:rsid w:val="00AE5AEF"/>
    <w:rsid w:val="00AE726E"/>
    <w:rsid w:val="00AF23C1"/>
    <w:rsid w:val="00AF254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4B23"/>
    <w:rsid w:val="00B2747D"/>
    <w:rsid w:val="00B275DC"/>
    <w:rsid w:val="00B34E9E"/>
    <w:rsid w:val="00B36467"/>
    <w:rsid w:val="00B36CF4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B39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62F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0255"/>
    <w:rsid w:val="00BA1170"/>
    <w:rsid w:val="00BA1C97"/>
    <w:rsid w:val="00BA3F1F"/>
    <w:rsid w:val="00BA42F2"/>
    <w:rsid w:val="00BA47B6"/>
    <w:rsid w:val="00BA52FC"/>
    <w:rsid w:val="00BA7A22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2245"/>
    <w:rsid w:val="00BC36E8"/>
    <w:rsid w:val="00BC3A92"/>
    <w:rsid w:val="00BC4FAC"/>
    <w:rsid w:val="00BC5C7A"/>
    <w:rsid w:val="00BC6821"/>
    <w:rsid w:val="00BD0C6D"/>
    <w:rsid w:val="00BD1B73"/>
    <w:rsid w:val="00BD1B93"/>
    <w:rsid w:val="00BD3FE1"/>
    <w:rsid w:val="00BD582A"/>
    <w:rsid w:val="00BD6D25"/>
    <w:rsid w:val="00BD72AB"/>
    <w:rsid w:val="00BE0CBC"/>
    <w:rsid w:val="00BE164F"/>
    <w:rsid w:val="00BE24F3"/>
    <w:rsid w:val="00BE2D54"/>
    <w:rsid w:val="00BE2F1D"/>
    <w:rsid w:val="00BE3FDA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4C58"/>
    <w:rsid w:val="00BF5077"/>
    <w:rsid w:val="00BF5339"/>
    <w:rsid w:val="00BF5820"/>
    <w:rsid w:val="00BF5C6B"/>
    <w:rsid w:val="00C01BCE"/>
    <w:rsid w:val="00C03382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233D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5E3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66A67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200D"/>
    <w:rsid w:val="00C93654"/>
    <w:rsid w:val="00C93FD2"/>
    <w:rsid w:val="00C94C4A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2E7B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4D27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332D"/>
    <w:rsid w:val="00CF4496"/>
    <w:rsid w:val="00CF4BD5"/>
    <w:rsid w:val="00CF50A5"/>
    <w:rsid w:val="00CF50A8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668"/>
    <w:rsid w:val="00D15AEE"/>
    <w:rsid w:val="00D212D0"/>
    <w:rsid w:val="00D22028"/>
    <w:rsid w:val="00D2257C"/>
    <w:rsid w:val="00D24270"/>
    <w:rsid w:val="00D2521B"/>
    <w:rsid w:val="00D26B81"/>
    <w:rsid w:val="00D357F1"/>
    <w:rsid w:val="00D3598A"/>
    <w:rsid w:val="00D41227"/>
    <w:rsid w:val="00D46174"/>
    <w:rsid w:val="00D50667"/>
    <w:rsid w:val="00D5193C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4DF4"/>
    <w:rsid w:val="00D65BAA"/>
    <w:rsid w:val="00D65EB6"/>
    <w:rsid w:val="00D66845"/>
    <w:rsid w:val="00D668C1"/>
    <w:rsid w:val="00D66C2A"/>
    <w:rsid w:val="00D71A14"/>
    <w:rsid w:val="00D7423E"/>
    <w:rsid w:val="00D74E81"/>
    <w:rsid w:val="00D77A9A"/>
    <w:rsid w:val="00D81318"/>
    <w:rsid w:val="00D82D40"/>
    <w:rsid w:val="00D83443"/>
    <w:rsid w:val="00D83781"/>
    <w:rsid w:val="00D861B8"/>
    <w:rsid w:val="00D86E3E"/>
    <w:rsid w:val="00D87A6E"/>
    <w:rsid w:val="00D90F10"/>
    <w:rsid w:val="00D9152B"/>
    <w:rsid w:val="00D96B09"/>
    <w:rsid w:val="00D970BA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155"/>
    <w:rsid w:val="00DC1C20"/>
    <w:rsid w:val="00DC39BD"/>
    <w:rsid w:val="00DC3A29"/>
    <w:rsid w:val="00DC4C66"/>
    <w:rsid w:val="00DC73AE"/>
    <w:rsid w:val="00DC7A29"/>
    <w:rsid w:val="00DD1007"/>
    <w:rsid w:val="00DD275A"/>
    <w:rsid w:val="00DD326E"/>
    <w:rsid w:val="00DD3901"/>
    <w:rsid w:val="00DD5496"/>
    <w:rsid w:val="00DD69DB"/>
    <w:rsid w:val="00DD6A22"/>
    <w:rsid w:val="00DE0EF6"/>
    <w:rsid w:val="00DE106B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DF704A"/>
    <w:rsid w:val="00E01229"/>
    <w:rsid w:val="00E0176D"/>
    <w:rsid w:val="00E032C8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9D3"/>
    <w:rsid w:val="00E70CD8"/>
    <w:rsid w:val="00E72641"/>
    <w:rsid w:val="00E739A1"/>
    <w:rsid w:val="00E7526F"/>
    <w:rsid w:val="00E755E2"/>
    <w:rsid w:val="00E766B4"/>
    <w:rsid w:val="00E84127"/>
    <w:rsid w:val="00E84384"/>
    <w:rsid w:val="00E863A6"/>
    <w:rsid w:val="00E86502"/>
    <w:rsid w:val="00E86B8B"/>
    <w:rsid w:val="00E871D3"/>
    <w:rsid w:val="00E87634"/>
    <w:rsid w:val="00E87FA2"/>
    <w:rsid w:val="00E910D1"/>
    <w:rsid w:val="00E935D6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64A3"/>
    <w:rsid w:val="00EB7824"/>
    <w:rsid w:val="00EB794F"/>
    <w:rsid w:val="00EC0405"/>
    <w:rsid w:val="00EC10BA"/>
    <w:rsid w:val="00EC1BEA"/>
    <w:rsid w:val="00EC374D"/>
    <w:rsid w:val="00EC5812"/>
    <w:rsid w:val="00ED07B8"/>
    <w:rsid w:val="00ED0BFB"/>
    <w:rsid w:val="00ED0F08"/>
    <w:rsid w:val="00ED2EAB"/>
    <w:rsid w:val="00ED5F8A"/>
    <w:rsid w:val="00ED7D5E"/>
    <w:rsid w:val="00EE4768"/>
    <w:rsid w:val="00EE6763"/>
    <w:rsid w:val="00EE6B99"/>
    <w:rsid w:val="00EF0201"/>
    <w:rsid w:val="00EF4A4F"/>
    <w:rsid w:val="00F004F3"/>
    <w:rsid w:val="00F0104A"/>
    <w:rsid w:val="00F02291"/>
    <w:rsid w:val="00F02BCF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593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31A"/>
    <w:rsid w:val="00F528D4"/>
    <w:rsid w:val="00F52AAF"/>
    <w:rsid w:val="00F5354A"/>
    <w:rsid w:val="00F53C94"/>
    <w:rsid w:val="00F54759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6755B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0C3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7F"/>
    <w:rsid w:val="00FA5D90"/>
    <w:rsid w:val="00FA5F5D"/>
    <w:rsid w:val="00FA658E"/>
    <w:rsid w:val="00FA6FE6"/>
    <w:rsid w:val="00FB0BC9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0392"/>
    <w:rsid w:val="00FE1A93"/>
    <w:rsid w:val="00FE1AEC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  <w:rsid w:val="02AC78B8"/>
    <w:rsid w:val="074DC255"/>
    <w:rsid w:val="122079A5"/>
    <w:rsid w:val="1549B61F"/>
    <w:rsid w:val="4E8836FE"/>
    <w:rsid w:val="6B75DFE8"/>
    <w:rsid w:val="70C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4DE26"/>
  <w15:docId w15:val="{A32B0E7C-4AC8-4109-978D-95B7CF62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uiPriority w:val="59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20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5D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C10BA"/>
    <w:rPr>
      <w:i/>
      <w:iCs/>
    </w:rPr>
  </w:style>
  <w:style w:type="numbering" w:customStyle="1" w:styleId="CurrentList1">
    <w:name w:val="Current List1"/>
    <w:uiPriority w:val="99"/>
    <w:rsid w:val="0060014B"/>
    <w:pPr>
      <w:numPr>
        <w:numId w:val="37"/>
      </w:numPr>
    </w:pPr>
  </w:style>
  <w:style w:type="numbering" w:customStyle="1" w:styleId="CurrentList2">
    <w:name w:val="Current List2"/>
    <w:uiPriority w:val="99"/>
    <w:rsid w:val="00004565"/>
    <w:pPr>
      <w:numPr>
        <w:numId w:val="40"/>
      </w:numPr>
    </w:pPr>
  </w:style>
  <w:style w:type="numbering" w:customStyle="1" w:styleId="CurrentList3">
    <w:name w:val="Current List3"/>
    <w:uiPriority w:val="99"/>
    <w:rsid w:val="00004565"/>
    <w:pPr>
      <w:numPr>
        <w:numId w:val="41"/>
      </w:numPr>
    </w:pPr>
  </w:style>
  <w:style w:type="character" w:styleId="FollowedHyperlink">
    <w:name w:val="FollowedHyperlink"/>
    <w:basedOn w:val="DefaultParagraphFont"/>
    <w:semiHidden/>
    <w:unhideWhenUsed/>
    <w:rsid w:val="00525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enresearch@manchester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research.manchester.ac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s.manchester.ac.uk/DocuInfo.aspx?DocID=244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enresearch.manchester.ac.uk/about-us/position-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documents.manchester.ac.uk%2Fdisplay.aspx%3FDocID%3D28526&amp;wdOrigin=BROWSELINK" TargetMode="External"/><Relationship Id="rId14" Type="http://schemas.openxmlformats.org/officeDocument/2006/relationships/hyperlink" Target="https://www.openresearch.manchester.ac.uk/about-us/position-statement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enresearch.manchester.ac.uk/" TargetMode="External"/><Relationship Id="rId2" Type="http://schemas.openxmlformats.org/officeDocument/2006/relationships/hyperlink" Target="https://documents.manchester.ac.uk/display.aspx?DocID=24420" TargetMode="External"/><Relationship Id="rId1" Type="http://schemas.openxmlformats.org/officeDocument/2006/relationships/hyperlink" Target="https://www.openresearch.manchester.ac.uk/about-us/position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5906</Characters>
  <Application>Microsoft Office Word</Application>
  <DocSecurity>0</DocSecurity>
  <Lines>49</Lines>
  <Paragraphs>13</Paragraphs>
  <ScaleCrop>false</ScaleCrop>
  <Company>University of Manchester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Scoresby</dc:creator>
  <cp:keywords/>
  <cp:lastModifiedBy>Jane Holland</cp:lastModifiedBy>
  <cp:revision>3</cp:revision>
  <cp:lastPrinted>2014-06-27T18:19:00Z</cp:lastPrinted>
  <dcterms:created xsi:type="dcterms:W3CDTF">2023-01-06T15:14:00Z</dcterms:created>
  <dcterms:modified xsi:type="dcterms:W3CDTF">2023-01-06T15:18:00Z</dcterms:modified>
</cp:coreProperties>
</file>