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FFD" w:rsidRDefault="00E60FFD" w:rsidP="00E60FFD">
      <w:pPr>
        <w:rPr>
          <w:b/>
          <w:noProof/>
          <w:lang w:eastAsia="en-GB"/>
        </w:rPr>
      </w:pPr>
      <w:bookmarkStart w:id="0" w:name="_GoBack"/>
      <w:bookmarkEnd w:id="0"/>
      <w:r>
        <w:rPr>
          <w:b/>
          <w:noProof/>
          <w:lang w:eastAsia="en-GB"/>
        </w:rPr>
        <w:drawing>
          <wp:anchor distT="0" distB="0" distL="114300" distR="114300" simplePos="0" relativeHeight="251658240" behindDoc="1" locked="0" layoutInCell="1" allowOverlap="1" wp14:anchorId="749C4D79" wp14:editId="2B550249">
            <wp:simplePos x="0" y="0"/>
            <wp:positionH relativeFrom="page">
              <wp:posOffset>342900</wp:posOffset>
            </wp:positionH>
            <wp:positionV relativeFrom="page">
              <wp:posOffset>457200</wp:posOffset>
            </wp:positionV>
            <wp:extent cx="1628775" cy="1566025"/>
            <wp:effectExtent l="0" t="0" r="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OM_4CO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1618" cy="15687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030" w:rsidRDefault="008D3030" w:rsidP="00E60FFD">
      <w:pPr>
        <w:rPr>
          <w:b/>
          <w:noProof/>
          <w:lang w:eastAsia="en-GB"/>
        </w:rPr>
      </w:pPr>
    </w:p>
    <w:p w:rsidR="0079799D" w:rsidRDefault="00E60FFD" w:rsidP="00E0404E">
      <w:pPr>
        <w:ind w:left="720"/>
        <w:rPr>
          <w:b/>
          <w:noProof/>
          <w:lang w:eastAsia="en-GB"/>
        </w:rPr>
      </w:pPr>
      <w:r w:rsidRPr="00E60FFD">
        <w:rPr>
          <w:b/>
          <w:noProof/>
          <w:lang w:eastAsia="en-GB"/>
        </w:rPr>
        <w:t>Appendix 1: Identification</w:t>
      </w:r>
      <w:r w:rsidR="00D564DF">
        <w:rPr>
          <w:b/>
          <w:noProof/>
          <w:lang w:eastAsia="en-GB"/>
        </w:rPr>
        <w:t xml:space="preserve"> of progress by Concordat principle, refl</w:t>
      </w:r>
      <w:r w:rsidR="003131CA">
        <w:rPr>
          <w:b/>
          <w:noProof/>
          <w:lang w:eastAsia="en-GB"/>
        </w:rPr>
        <w:t>ecting on actio</w:t>
      </w:r>
      <w:r w:rsidR="00E0404E">
        <w:rPr>
          <w:b/>
          <w:noProof/>
          <w:lang w:eastAsia="en-GB"/>
        </w:rPr>
        <w:t>ns</w:t>
      </w:r>
      <w:r w:rsidR="008D3030">
        <w:rPr>
          <w:b/>
          <w:noProof/>
          <w:lang w:eastAsia="en-GB"/>
        </w:rPr>
        <w:t xml:space="preserve"> </w:t>
      </w:r>
      <w:r w:rsidR="00E0404E">
        <w:rPr>
          <w:b/>
          <w:noProof/>
          <w:lang w:eastAsia="en-GB"/>
        </w:rPr>
        <w:t xml:space="preserve">given </w:t>
      </w:r>
      <w:r w:rsidR="003131CA">
        <w:rPr>
          <w:b/>
          <w:noProof/>
          <w:lang w:eastAsia="en-GB"/>
        </w:rPr>
        <w:t xml:space="preserve">in </w:t>
      </w:r>
      <w:r w:rsidR="00D564DF">
        <w:rPr>
          <w:b/>
          <w:noProof/>
          <w:lang w:eastAsia="en-GB"/>
        </w:rPr>
        <w:t xml:space="preserve">the two-year review (2013-15) and with reference to </w:t>
      </w:r>
      <w:r w:rsidR="0098146E">
        <w:rPr>
          <w:b/>
          <w:noProof/>
          <w:lang w:eastAsia="en-GB"/>
        </w:rPr>
        <w:t xml:space="preserve">the </w:t>
      </w:r>
      <w:r w:rsidR="00D564DF">
        <w:rPr>
          <w:b/>
          <w:noProof/>
          <w:lang w:eastAsia="en-GB"/>
        </w:rPr>
        <w:t>o</w:t>
      </w:r>
      <w:r w:rsidR="0098146E">
        <w:rPr>
          <w:b/>
          <w:noProof/>
          <w:lang w:eastAsia="en-GB"/>
        </w:rPr>
        <w:t xml:space="preserve">riginal      </w:t>
      </w:r>
      <w:r w:rsidR="00D564DF">
        <w:rPr>
          <w:b/>
          <w:noProof/>
          <w:lang w:eastAsia="en-GB"/>
        </w:rPr>
        <w:t>action</w:t>
      </w:r>
      <w:r w:rsidR="0098146E">
        <w:rPr>
          <w:b/>
          <w:noProof/>
          <w:lang w:eastAsia="en-GB"/>
        </w:rPr>
        <w:t xml:space="preserve"> </w:t>
      </w:r>
      <w:r w:rsidR="00D564DF">
        <w:rPr>
          <w:b/>
          <w:noProof/>
          <w:lang w:eastAsia="en-GB"/>
        </w:rPr>
        <w:t>plan, in</w:t>
      </w:r>
      <w:r w:rsidR="0098146E">
        <w:rPr>
          <w:b/>
          <w:noProof/>
          <w:lang w:eastAsia="en-GB"/>
        </w:rPr>
        <w:t>cluding</w:t>
      </w:r>
      <w:r w:rsidR="00D564DF">
        <w:rPr>
          <w:b/>
          <w:noProof/>
          <w:lang w:eastAsia="en-GB"/>
        </w:rPr>
        <w:t xml:space="preserve"> indicators and metrics where appropriate. </w:t>
      </w:r>
    </w:p>
    <w:p w:rsidR="008D3030" w:rsidRDefault="008D3030" w:rsidP="008D3030">
      <w:pPr>
        <w:ind w:left="720"/>
        <w:rPr>
          <w:b/>
          <w:noProof/>
          <w:lang w:eastAsia="en-GB"/>
        </w:rPr>
      </w:pPr>
      <w:r>
        <w:rPr>
          <w:b/>
          <w:noProof/>
          <w:lang w:eastAsia="en-GB"/>
        </w:rPr>
        <w:t xml:space="preserve">The views of </w:t>
      </w:r>
      <w:r w:rsidR="00E0404E">
        <w:rPr>
          <w:b/>
          <w:noProof/>
          <w:lang w:eastAsia="en-GB"/>
        </w:rPr>
        <w:t>re</w:t>
      </w:r>
      <w:r>
        <w:rPr>
          <w:b/>
          <w:noProof/>
          <w:lang w:eastAsia="en-GB"/>
        </w:rPr>
        <w:t>search staff regarding p</w:t>
      </w:r>
      <w:r w:rsidR="00E0404E">
        <w:rPr>
          <w:b/>
          <w:noProof/>
          <w:lang w:eastAsia="en-GB"/>
        </w:rPr>
        <w:t>rogress</w:t>
      </w:r>
      <w:r>
        <w:rPr>
          <w:b/>
          <w:noProof/>
          <w:lang w:eastAsia="en-GB"/>
        </w:rPr>
        <w:t xml:space="preserve"> made with e</w:t>
      </w:r>
      <w:r w:rsidR="00E0404E">
        <w:rPr>
          <w:b/>
          <w:noProof/>
          <w:lang w:eastAsia="en-GB"/>
        </w:rPr>
        <w:t>ach</w:t>
      </w:r>
      <w:r>
        <w:rPr>
          <w:b/>
          <w:noProof/>
          <w:lang w:eastAsia="en-GB"/>
        </w:rPr>
        <w:t xml:space="preserve"> Principle were collec</w:t>
      </w:r>
      <w:r w:rsidR="00E0404E">
        <w:rPr>
          <w:b/>
          <w:noProof/>
          <w:lang w:eastAsia="en-GB"/>
        </w:rPr>
        <w:t>ted</w:t>
      </w:r>
      <w:r>
        <w:rPr>
          <w:b/>
          <w:noProof/>
          <w:lang w:eastAsia="en-GB"/>
        </w:rPr>
        <w:t xml:space="preserve"> via: Faculty Res</w:t>
      </w:r>
      <w:r w:rsidR="00E0404E">
        <w:rPr>
          <w:b/>
          <w:noProof/>
          <w:lang w:eastAsia="en-GB"/>
        </w:rPr>
        <w:t>earch</w:t>
      </w:r>
      <w:r>
        <w:rPr>
          <w:b/>
          <w:noProof/>
          <w:lang w:eastAsia="en-GB"/>
        </w:rPr>
        <w:t xml:space="preserve"> Staff Developers, Research Sta</w:t>
      </w:r>
      <w:r w:rsidR="00E0404E">
        <w:rPr>
          <w:b/>
          <w:noProof/>
          <w:lang w:eastAsia="en-GB"/>
        </w:rPr>
        <w:t xml:space="preserve">ff Fora, CROS and The Universty’s internal </w:t>
      </w:r>
      <w:r>
        <w:rPr>
          <w:b/>
          <w:noProof/>
          <w:lang w:eastAsia="en-GB"/>
        </w:rPr>
        <w:t>Staff Survey.</w:t>
      </w:r>
    </w:p>
    <w:tbl>
      <w:tblPr>
        <w:tblW w:w="1395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0410"/>
      </w:tblGrid>
      <w:tr w:rsidR="00E60FFD" w:rsidTr="008D3030">
        <w:trPr>
          <w:trHeight w:val="403"/>
        </w:trPr>
        <w:tc>
          <w:tcPr>
            <w:tcW w:w="13950" w:type="dxa"/>
            <w:gridSpan w:val="2"/>
          </w:tcPr>
          <w:p w:rsidR="00A02C3D" w:rsidRPr="00E60FFD" w:rsidRDefault="00255E4B" w:rsidP="00BE51CB">
            <w:pPr>
              <w:pStyle w:val="ListParagraph"/>
              <w:numPr>
                <w:ilvl w:val="0"/>
                <w:numId w:val="8"/>
              </w:numPr>
              <w:spacing w:after="0"/>
            </w:pPr>
            <w:r w:rsidRPr="00BE51CB">
              <w:rPr>
                <w:b/>
                <w:sz w:val="24"/>
                <w:szCs w:val="24"/>
              </w:rPr>
              <w:t>Recruitment &amp;</w:t>
            </w:r>
            <w:r w:rsidR="00E60FFD" w:rsidRPr="00BE51CB">
              <w:rPr>
                <w:b/>
                <w:sz w:val="24"/>
                <w:szCs w:val="24"/>
              </w:rPr>
              <w:t xml:space="preserve"> selection</w:t>
            </w:r>
            <w:r w:rsidR="00E60FFD">
              <w:t xml:space="preserve"> </w:t>
            </w:r>
            <w:r>
              <w:t>(</w:t>
            </w:r>
            <w:r w:rsidRPr="00BE51CB">
              <w:rPr>
                <w:b/>
              </w:rPr>
              <w:t>Concordat Principles 1,2 &amp; 6</w:t>
            </w:r>
            <w:r>
              <w:t>)</w:t>
            </w:r>
          </w:p>
        </w:tc>
      </w:tr>
      <w:tr w:rsidR="00E60FFD" w:rsidTr="008D3030">
        <w:trPr>
          <w:trHeight w:val="422"/>
        </w:trPr>
        <w:tc>
          <w:tcPr>
            <w:tcW w:w="3540" w:type="dxa"/>
          </w:tcPr>
          <w:p w:rsidR="00E60FFD" w:rsidRDefault="009D6490" w:rsidP="009D6490">
            <w:pPr>
              <w:rPr>
                <w:b/>
              </w:rPr>
            </w:pPr>
            <w:r>
              <w:rPr>
                <w:b/>
              </w:rPr>
              <w:t>Actions 2013</w:t>
            </w:r>
          </w:p>
        </w:tc>
        <w:tc>
          <w:tcPr>
            <w:tcW w:w="10410" w:type="dxa"/>
          </w:tcPr>
          <w:p w:rsidR="00E60FFD" w:rsidRDefault="00E527B8" w:rsidP="009D6490">
            <w:pPr>
              <w:rPr>
                <w:b/>
              </w:rPr>
            </w:pPr>
            <w:r>
              <w:rPr>
                <w:b/>
              </w:rPr>
              <w:t xml:space="preserve">Progress </w:t>
            </w:r>
            <w:r w:rsidR="009D6490">
              <w:rPr>
                <w:b/>
              </w:rPr>
              <w:t>2015</w:t>
            </w:r>
          </w:p>
        </w:tc>
      </w:tr>
      <w:tr w:rsidR="00815F05" w:rsidTr="00815F05">
        <w:trPr>
          <w:trHeight w:val="420"/>
        </w:trPr>
        <w:tc>
          <w:tcPr>
            <w:tcW w:w="3540" w:type="dxa"/>
          </w:tcPr>
          <w:p w:rsidR="00815F05" w:rsidRDefault="00815F05" w:rsidP="00152C3C">
            <w:pPr>
              <w:pStyle w:val="ListParagraph"/>
              <w:numPr>
                <w:ilvl w:val="1"/>
                <w:numId w:val="2"/>
              </w:numPr>
            </w:pPr>
            <w:r>
              <w:t>Advertise posts to attain widest pool after initial exploration of Redeployment Register and Red Circle database; monitor redeployment through The University’s Redeployment Register</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815F05" w:rsidRDefault="00815F05" w:rsidP="00152C3C">
            <w:pPr>
              <w:pStyle w:val="ListParagraph"/>
              <w:numPr>
                <w:ilvl w:val="1"/>
                <w:numId w:val="2"/>
              </w:numPr>
            </w:pPr>
            <w:r>
              <w:t>Ensure interview panels are appropriately trained where practical in line with The University’s Recruitment and Selection Guidance</w:t>
            </w:r>
          </w:p>
          <w:p w:rsidR="00A34ADB" w:rsidRDefault="00A34ADB" w:rsidP="00A34ADB">
            <w:pPr>
              <w:pStyle w:val="ListParagraph"/>
              <w:ind w:left="360"/>
            </w:pPr>
          </w:p>
          <w:p w:rsidR="00A34ADB" w:rsidRDefault="00A34ADB" w:rsidP="00A34ADB">
            <w:pPr>
              <w:pStyle w:val="ListParagraph"/>
              <w:ind w:left="360"/>
            </w:pPr>
          </w:p>
          <w:p w:rsidR="00815F05" w:rsidRDefault="00815F05" w:rsidP="00152C3C">
            <w:pPr>
              <w:pStyle w:val="ListParagraph"/>
              <w:numPr>
                <w:ilvl w:val="1"/>
                <w:numId w:val="2"/>
              </w:numPr>
            </w:pPr>
            <w:r>
              <w:t>Open-Ended contracts to become default norm, with Fixed-Term contracts limited to specific exceptional requirements</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815F05" w:rsidRDefault="00815F05" w:rsidP="00152C3C">
            <w:pPr>
              <w:pStyle w:val="ListParagraph"/>
              <w:numPr>
                <w:ilvl w:val="1"/>
                <w:numId w:val="2"/>
              </w:numPr>
            </w:pPr>
            <w:r>
              <w:t>Explore scope for Bridging Funds between grants on a case-by-case basis</w:t>
            </w:r>
          </w:p>
          <w:p w:rsidR="00815F05" w:rsidRPr="00E60FFD" w:rsidRDefault="00815F05" w:rsidP="00D564DF"/>
        </w:tc>
        <w:tc>
          <w:tcPr>
            <w:tcW w:w="10410" w:type="dxa"/>
          </w:tcPr>
          <w:p w:rsidR="00815F05" w:rsidRDefault="00856BDB" w:rsidP="00E60FFD">
            <w:r>
              <w:lastRenderedPageBreak/>
              <w:t xml:space="preserve">1.1 </w:t>
            </w:r>
            <w:r w:rsidR="00815F05">
              <w:t xml:space="preserve">The University’s Equality &amp; Diversity data for recruitment, selection and promotions - including for research staff -   are reviewed twice a year at the high-level HR Sub Committee chaired by The Deputy President &amp; Deputy Vice-Chancellor. Faculty and PSS action plans are also reviewed. The discussions are led by the Associate Vice President for Social Responsibility.   A second, mid-year review was instigated in 2013 as an annual review was not considered sufficient. </w:t>
            </w:r>
          </w:p>
          <w:p w:rsidR="00856BDB" w:rsidRDefault="00856BDB" w:rsidP="00856BDB">
            <w:pPr>
              <w:rPr>
                <w:rFonts w:ascii="Calibri" w:eastAsia="Times New Roman" w:hAnsi="Calibri" w:cs="Times New Roman"/>
                <w:iCs/>
                <w:color w:val="000000"/>
                <w:lang w:eastAsia="en-GB"/>
              </w:rPr>
            </w:pPr>
            <w:r w:rsidRPr="004C568D">
              <w:rPr>
                <w:rFonts w:ascii="Calibri" w:eastAsia="Times New Roman" w:hAnsi="Calibri" w:cs="Times New Roman"/>
                <w:iCs/>
                <w:color w:val="000000"/>
                <w:lang w:eastAsia="en-GB"/>
              </w:rPr>
              <w:t>The University of Manchester is committed to equality of opportunity for all staff and students. The University holds a number of equality and diversity awards and accreditations reflecting the strong commitment to supporting a vibrant academic community where all can flourish</w:t>
            </w:r>
            <w:r>
              <w:rPr>
                <w:rFonts w:ascii="Calibri" w:eastAsia="Times New Roman" w:hAnsi="Calibri" w:cs="Times New Roman"/>
                <w:iCs/>
                <w:color w:val="000000"/>
                <w:lang w:eastAsia="en-GB"/>
              </w:rPr>
              <w:t xml:space="preserve"> (see 5.4 below). </w:t>
            </w:r>
          </w:p>
          <w:p w:rsidR="00CB177F" w:rsidRPr="004C568D" w:rsidRDefault="00CB177F" w:rsidP="00CB177F">
            <w:pPr>
              <w:rPr>
                <w:rFonts w:ascii="Segoe UI" w:eastAsia="Times New Roman" w:hAnsi="Segoe UI" w:cs="Segoe UI"/>
                <w:color w:val="000000"/>
                <w:sz w:val="27"/>
                <w:szCs w:val="27"/>
                <w:lang w:eastAsia="en-GB"/>
              </w:rPr>
            </w:pPr>
            <w:r w:rsidRPr="004C568D">
              <w:rPr>
                <w:rFonts w:ascii="Calibri" w:eastAsia="Times New Roman" w:hAnsi="Calibri" w:cs="Segoe UI"/>
                <w:iCs/>
                <w:color w:val="000000"/>
                <w:lang w:eastAsia="en-GB"/>
              </w:rPr>
              <w:t xml:space="preserve">The University has </w:t>
            </w:r>
            <w:r>
              <w:rPr>
                <w:rFonts w:ascii="Calibri" w:eastAsia="Times New Roman" w:hAnsi="Calibri" w:cs="Segoe UI"/>
                <w:iCs/>
                <w:color w:val="000000"/>
                <w:lang w:eastAsia="en-GB"/>
              </w:rPr>
              <w:t xml:space="preserve">established </w:t>
            </w:r>
            <w:r w:rsidRPr="004C568D">
              <w:rPr>
                <w:rFonts w:ascii="Calibri" w:eastAsia="Times New Roman" w:hAnsi="Calibri" w:cs="Segoe UI"/>
                <w:iCs/>
                <w:color w:val="000000"/>
                <w:lang w:eastAsia="en-GB"/>
              </w:rPr>
              <w:t>strong network groups for staff and students, including a Peer Support Group for Returners from Maternity, Paternity and Adoption Leave, BME Staff Network Group, Disabled Staff Network Group, International Staff Network Group and Women in Science, Engineering and Technology (WiSET). In June 2014 the University launched the Women Professors Network to support the development of female Professors to senior management positions. The groups organise events throughout the year and the University allows members up to eight hours per year to be dedicated to network group activities from their standard working hours.</w:t>
            </w:r>
          </w:p>
          <w:p w:rsidR="00CB177F" w:rsidRPr="004C568D" w:rsidRDefault="00CB177F" w:rsidP="00CB177F">
            <w:pPr>
              <w:rPr>
                <w:rFonts w:ascii="Segoe UI" w:eastAsia="Times New Roman" w:hAnsi="Segoe UI" w:cs="Segoe UI"/>
                <w:color w:val="000000"/>
                <w:sz w:val="27"/>
                <w:szCs w:val="27"/>
                <w:lang w:eastAsia="en-GB"/>
              </w:rPr>
            </w:pPr>
            <w:r w:rsidRPr="004C568D">
              <w:rPr>
                <w:rFonts w:ascii="Calibri" w:eastAsia="Times New Roman" w:hAnsi="Calibri" w:cs="Segoe UI"/>
                <w:iCs/>
                <w:color w:val="000000"/>
                <w:lang w:eastAsia="en-GB"/>
              </w:rPr>
              <w:t>The University of Manchester offers a substantial maternity leave package which includes six months full pay, plus three months statutory pay. Whilst on maternity leave the University offers 10 ‘keeping in touch’ days, which are paid and not taken out of the maternity leave period. Our Shared Parental Leave policy offers new parents more flexibility and enhanced pay to partners who share leave with the mother. The University also has a staff network group specifically for those returning to work after having a child. </w:t>
            </w:r>
            <w:r w:rsidRPr="004C568D">
              <w:rPr>
                <w:rFonts w:ascii="Calibri" w:eastAsia="Times New Roman" w:hAnsi="Calibri" w:cs="Segoe UI"/>
                <w:iCs/>
                <w:color w:val="000000"/>
                <w:lang w:val="en" w:eastAsia="en-GB"/>
              </w:rPr>
              <w:t>There are a number of family-</w:t>
            </w:r>
            <w:r w:rsidRPr="004C568D">
              <w:rPr>
                <w:rFonts w:ascii="Calibri" w:eastAsia="Times New Roman" w:hAnsi="Calibri" w:cs="Segoe UI"/>
                <w:iCs/>
                <w:color w:val="000000"/>
                <w:lang w:eastAsia="en-GB"/>
              </w:rPr>
              <w:t xml:space="preserve">friendly policies </w:t>
            </w:r>
            <w:r w:rsidRPr="004C568D">
              <w:rPr>
                <w:rFonts w:ascii="Calibri" w:eastAsia="Times New Roman" w:hAnsi="Calibri" w:cs="Segoe UI"/>
                <w:iCs/>
                <w:color w:val="000000"/>
                <w:lang w:eastAsia="en-GB"/>
              </w:rPr>
              <w:lastRenderedPageBreak/>
              <w:t>including flexible working, career break and special leave, and family-friendly support includes childcare initiatives to help reduce costs with a </w:t>
            </w:r>
            <w:r w:rsidRPr="004C568D">
              <w:rPr>
                <w:rFonts w:ascii="Calibri" w:eastAsia="Times New Roman" w:hAnsi="Calibri" w:cs="Segoe UI"/>
                <w:iCs/>
                <w:color w:val="000000"/>
                <w:lang w:val="en" w:eastAsia="en-GB"/>
              </w:rPr>
              <w:t>salary exchange scheme for paying for childcare, childcare vouchers and two on site n</w:t>
            </w:r>
            <w:r>
              <w:rPr>
                <w:rFonts w:ascii="Calibri" w:eastAsia="Times New Roman" w:hAnsi="Calibri" w:cs="Segoe UI"/>
                <w:iCs/>
                <w:color w:val="000000"/>
                <w:lang w:val="en" w:eastAsia="en-GB"/>
              </w:rPr>
              <w:t>urseries.</w:t>
            </w:r>
          </w:p>
          <w:p w:rsidR="00815F05" w:rsidRDefault="00856BDB" w:rsidP="00E60FFD">
            <w:r>
              <w:t xml:space="preserve">1.2 </w:t>
            </w:r>
            <w:r w:rsidR="00815F05">
              <w:t xml:space="preserve">University policy states that all members of Interviews Panels must have completed the appropriate training courses run by the Staff Training &amp; Development Unit. In 2013, the content of the Recruitment and Selection courses was reviewed and new modules produced for each stage of the Recruitment and Selection process. </w:t>
            </w:r>
          </w:p>
          <w:p w:rsidR="00A34ADB" w:rsidRDefault="00A34ADB" w:rsidP="00E60FFD"/>
          <w:p w:rsidR="00A34ADB" w:rsidRDefault="00A34ADB" w:rsidP="00E60FFD"/>
          <w:p w:rsidR="00815F05" w:rsidRDefault="00856BDB" w:rsidP="00E60FFD">
            <w:r>
              <w:t xml:space="preserve">1.3 </w:t>
            </w:r>
            <w:r w:rsidR="00815F05">
              <w:t xml:space="preserve">A </w:t>
            </w:r>
            <w:hyperlink r:id="rId7" w:history="1">
              <w:r w:rsidR="00815F05" w:rsidRPr="001B4426">
                <w:rPr>
                  <w:rStyle w:val="Hyperlink"/>
                </w:rPr>
                <w:t>Contracts Policy</w:t>
              </w:r>
            </w:hyperlink>
            <w:r w:rsidR="00815F05">
              <w:t xml:space="preserve"> was introduced into The University in 2010 which states that, wherever possible, </w:t>
            </w:r>
            <w:proofErr w:type="gramStart"/>
            <w:r w:rsidR="00815F05">
              <w:t>staff are</w:t>
            </w:r>
            <w:proofErr w:type="gramEnd"/>
            <w:r w:rsidR="00815F05">
              <w:t xml:space="preserve"> appointed on contracts of an indefinite duration.  Where a contract offered is for fixed term or limited term (e.g. where the need for a particular job to be done is clearly temporary) the Policy gives procedures to provide fair, effective and transparent mechanisms by which decision relating to the use of fixed term contracts and open-ended contracts can be taken and implemented. The Policy, now well embedded into University procedures and practice, was very well received by Trades Unions and is cited in the sector as an example of outstanding practice. The performance of the Policy is reviewed – and revised where necessary - every two years but is working well: 80-84% of staff are either redeployed or re-funded. </w:t>
            </w:r>
          </w:p>
          <w:p w:rsidR="00815F05" w:rsidRDefault="00E925F1" w:rsidP="008D3030">
            <w:r>
              <w:t xml:space="preserve">At the end of an Open-Ended contract, staff </w:t>
            </w:r>
            <w:r w:rsidR="00815F05">
              <w:t>are given an extra three months, in addition to the statutory notice period</w:t>
            </w:r>
            <w:r w:rsidR="00856BDB">
              <w:t xml:space="preserve"> of three months</w:t>
            </w:r>
            <w:r w:rsidR="00815F05">
              <w:t xml:space="preserve">, to provide an opportunity to develop their careers in between contracts e.g. undertake </w:t>
            </w:r>
            <w:r>
              <w:t>specific training</w:t>
            </w:r>
            <w:r w:rsidR="00815F05">
              <w:t>. This generous approach goes beyond minim</w:t>
            </w:r>
            <w:r>
              <w:t>um</w:t>
            </w:r>
            <w:r w:rsidR="00815F05">
              <w:t xml:space="preserve"> legal requirements and can assist </w:t>
            </w:r>
            <w:r>
              <w:t>(</w:t>
            </w:r>
            <w:r w:rsidR="00815F05">
              <w:t>research</w:t>
            </w:r>
            <w:r>
              <w:t>)</w:t>
            </w:r>
            <w:r w:rsidR="00815F05">
              <w:t xml:space="preserve"> staff in between contracts to bridge gaps between funding. </w:t>
            </w:r>
          </w:p>
          <w:p w:rsidR="00815F05" w:rsidRDefault="005E0631" w:rsidP="00E60FFD">
            <w:pPr>
              <w:rPr>
                <w:b/>
              </w:rPr>
            </w:pPr>
            <w:r w:rsidRPr="00206FF7">
              <w:rPr>
                <w:b/>
                <w:u w:val="single"/>
              </w:rPr>
              <w:t xml:space="preserve">CROS supporting evidence and feedback </w:t>
            </w:r>
            <w:r w:rsidR="00856BDB">
              <w:rPr>
                <w:b/>
                <w:u w:val="single"/>
              </w:rPr>
              <w:t xml:space="preserve">collected </w:t>
            </w:r>
            <w:r w:rsidRPr="00206FF7">
              <w:rPr>
                <w:b/>
                <w:u w:val="single"/>
              </w:rPr>
              <w:t>f</w:t>
            </w:r>
            <w:r w:rsidR="00856BDB">
              <w:rPr>
                <w:b/>
                <w:u w:val="single"/>
              </w:rPr>
              <w:t>rom</w:t>
            </w:r>
            <w:r w:rsidRPr="00206FF7">
              <w:rPr>
                <w:b/>
                <w:u w:val="single"/>
              </w:rPr>
              <w:t xml:space="preserve"> </w:t>
            </w:r>
            <w:r w:rsidR="00856BDB">
              <w:rPr>
                <w:b/>
                <w:u w:val="single"/>
              </w:rPr>
              <w:t>research staff via Research Staff Fora</w:t>
            </w:r>
            <w:r>
              <w:rPr>
                <w:b/>
              </w:rPr>
              <w:t>:</w:t>
            </w:r>
            <w:r w:rsidR="00E925F1" w:rsidRPr="005E0631">
              <w:rPr>
                <w:b/>
              </w:rPr>
              <w:t xml:space="preserve"> </w:t>
            </w:r>
            <w:r w:rsidRPr="005E0631">
              <w:rPr>
                <w:b/>
              </w:rPr>
              <w:t>Despite the encouraging University overall figures</w:t>
            </w:r>
            <w:r w:rsidR="00856BDB">
              <w:rPr>
                <w:b/>
              </w:rPr>
              <w:t xml:space="preserve"> of redeployment</w:t>
            </w:r>
            <w:r w:rsidRPr="005E0631">
              <w:rPr>
                <w:b/>
              </w:rPr>
              <w:t xml:space="preserve">, 80% of respondents to the 2015 CROS were on fixed-term contracts. </w:t>
            </w:r>
            <w:r w:rsidR="00815F05" w:rsidRPr="005E0631">
              <w:rPr>
                <w:b/>
              </w:rPr>
              <w:t>It is clear that more work is needed to raise awareness of the benefits of Open-Ended contracts and the process for transferring f</w:t>
            </w:r>
            <w:r w:rsidR="00856BDB">
              <w:rPr>
                <w:b/>
              </w:rPr>
              <w:t>rom</w:t>
            </w:r>
            <w:r w:rsidR="00815F05" w:rsidRPr="005E0631">
              <w:rPr>
                <w:b/>
              </w:rPr>
              <w:t xml:space="preserve"> a Fixed-Term contract</w:t>
            </w:r>
            <w:r w:rsidR="00856BDB">
              <w:rPr>
                <w:b/>
              </w:rPr>
              <w:t xml:space="preserve"> (transfer from a Fixed – to Open-Ended – contract is by request and not automatic).</w:t>
            </w:r>
          </w:p>
          <w:p w:rsidR="00856BDB" w:rsidRDefault="00856BDB" w:rsidP="00856BDB">
            <w:pPr>
              <w:spacing w:after="0"/>
            </w:pPr>
            <w:r>
              <w:t>A significant new Policy at The University which helps research staff transition between career steps following end of contract is the Extended Access Policy. This policy, which is unique amongst UK HEIs</w:t>
            </w:r>
            <w:r w:rsidR="00CD0BAF">
              <w:t>, was</w:t>
            </w:r>
            <w:r>
              <w:t xml:space="preserve"> put in place following the successful piloting of a scheme developed by members of The University’s </w:t>
            </w:r>
            <w:hyperlink r:id="rId8" w:history="1">
              <w:r w:rsidRPr="00E925F1">
                <w:rPr>
                  <w:rStyle w:val="Hyperlink"/>
                </w:rPr>
                <w:t>Research Staff Association</w:t>
              </w:r>
            </w:hyperlink>
            <w:r>
              <w:t xml:space="preserve">. The Policy provides access to University facilities – computing, email, library </w:t>
            </w:r>
            <w:r w:rsidR="00E0404E">
              <w:t>etc.</w:t>
            </w:r>
            <w:r>
              <w:t xml:space="preserve"> – important to </w:t>
            </w:r>
            <w:r>
              <w:lastRenderedPageBreak/>
              <w:t xml:space="preserve">maintain the career development </w:t>
            </w:r>
            <w:r w:rsidR="00CD0BAF">
              <w:t xml:space="preserve">and research outputs </w:t>
            </w:r>
            <w:r>
              <w:t xml:space="preserve">of research staff in between contracts/career stage. </w:t>
            </w:r>
          </w:p>
          <w:p w:rsidR="00856BDB" w:rsidRDefault="00856BDB" w:rsidP="00856BDB">
            <w:r>
              <w:t xml:space="preserve">Feedback </w:t>
            </w:r>
            <w:r w:rsidR="00CD0BAF">
              <w:t xml:space="preserve">collected from </w:t>
            </w:r>
            <w:r>
              <w:t xml:space="preserve">The University’s research staff, however, shows that awareness of the Policy and its benefits needs to be better known by research staff. </w:t>
            </w:r>
          </w:p>
          <w:p w:rsidR="00815F05" w:rsidRPr="00E60FFD" w:rsidRDefault="00856BDB" w:rsidP="00CD0BAF">
            <w:pPr>
              <w:spacing w:after="0"/>
            </w:pPr>
            <w:r>
              <w:rPr>
                <w:rFonts w:ascii="Calibri" w:hAnsi="Calibri"/>
              </w:rPr>
              <w:t xml:space="preserve">1.4 </w:t>
            </w:r>
            <w:r w:rsidR="00815F05">
              <w:rPr>
                <w:rFonts w:ascii="Calibri" w:hAnsi="Calibri"/>
              </w:rPr>
              <w:t xml:space="preserve">The Associate Vice President for Research, who chairs The Research Staff Development Working Group, sits on The University’s Wellcome Trust Institutional Strategic Support Fund Committee, which allocates </w:t>
            </w:r>
            <w:r w:rsidR="00815F05" w:rsidRPr="00AE3299">
              <w:rPr>
                <w:rFonts w:ascii="Calibri" w:hAnsi="Calibri"/>
              </w:rPr>
              <w:t xml:space="preserve">bridge funding </w:t>
            </w:r>
            <w:r w:rsidR="00815F05">
              <w:rPr>
                <w:rFonts w:ascii="Calibri" w:hAnsi="Calibri"/>
              </w:rPr>
              <w:t xml:space="preserve">on a competitive basis to </w:t>
            </w:r>
            <w:r w:rsidR="00815F05" w:rsidRPr="00AE3299">
              <w:rPr>
                <w:rFonts w:ascii="Calibri" w:hAnsi="Calibri"/>
              </w:rPr>
              <w:t xml:space="preserve">any member </w:t>
            </w:r>
            <w:r w:rsidR="00815F05">
              <w:rPr>
                <w:rFonts w:ascii="Calibri" w:hAnsi="Calibri"/>
              </w:rPr>
              <w:t xml:space="preserve">of research staff </w:t>
            </w:r>
            <w:r w:rsidR="00815F05" w:rsidRPr="00AE3299">
              <w:rPr>
                <w:rFonts w:ascii="Calibri" w:hAnsi="Calibri"/>
              </w:rPr>
              <w:t xml:space="preserve">at The University who meets the criteria of the fund stipulated by the Wellcome Trust. </w:t>
            </w:r>
            <w:r w:rsidR="00815F05" w:rsidRPr="00CD0BAF">
              <w:rPr>
                <w:rFonts w:ascii="Calibri" w:hAnsi="Calibri"/>
              </w:rPr>
              <w:t xml:space="preserve">More work needs to be done to make research staff members (and PIs) more aware of the funding and responding accordingly to deadlines. Institutional bridge funding is recognised as an important issue to prevent the loss of talent from The University.  </w:t>
            </w:r>
          </w:p>
        </w:tc>
      </w:tr>
      <w:tr w:rsidR="00815F05" w:rsidTr="0079799D">
        <w:trPr>
          <w:trHeight w:val="403"/>
        </w:trPr>
        <w:tc>
          <w:tcPr>
            <w:tcW w:w="13950" w:type="dxa"/>
            <w:gridSpan w:val="2"/>
          </w:tcPr>
          <w:p w:rsidR="00815F05" w:rsidRPr="00E60FFD" w:rsidRDefault="00255E4B" w:rsidP="00BE51CB">
            <w:pPr>
              <w:pStyle w:val="ListParagraph"/>
              <w:numPr>
                <w:ilvl w:val="0"/>
                <w:numId w:val="2"/>
              </w:numPr>
              <w:spacing w:after="0"/>
            </w:pPr>
            <w:r w:rsidRPr="00BE51CB">
              <w:rPr>
                <w:b/>
                <w:sz w:val="24"/>
                <w:szCs w:val="24"/>
              </w:rPr>
              <w:lastRenderedPageBreak/>
              <w:t>Recognition and Value</w:t>
            </w:r>
            <w:r w:rsidRPr="00BE51CB">
              <w:rPr>
                <w:b/>
              </w:rPr>
              <w:t xml:space="preserve"> (Concordat Principles 1, 2, 3, 4 &amp; 6) </w:t>
            </w:r>
            <w:r w:rsidR="00815F05">
              <w:t xml:space="preserve"> </w:t>
            </w:r>
          </w:p>
        </w:tc>
      </w:tr>
      <w:tr w:rsidR="00815F05" w:rsidTr="0079799D">
        <w:trPr>
          <w:trHeight w:val="422"/>
        </w:trPr>
        <w:tc>
          <w:tcPr>
            <w:tcW w:w="3540" w:type="dxa"/>
          </w:tcPr>
          <w:p w:rsidR="00815F05" w:rsidRDefault="00815F05" w:rsidP="0079799D">
            <w:pPr>
              <w:rPr>
                <w:b/>
              </w:rPr>
            </w:pPr>
            <w:r>
              <w:rPr>
                <w:b/>
              </w:rPr>
              <w:t>Objectives</w:t>
            </w:r>
          </w:p>
        </w:tc>
        <w:tc>
          <w:tcPr>
            <w:tcW w:w="10410" w:type="dxa"/>
          </w:tcPr>
          <w:p w:rsidR="00815F05" w:rsidRDefault="00E527B8" w:rsidP="00E527B8">
            <w:pPr>
              <w:rPr>
                <w:b/>
              </w:rPr>
            </w:pPr>
            <w:r>
              <w:rPr>
                <w:b/>
              </w:rPr>
              <w:t>Progress and s</w:t>
            </w:r>
            <w:r w:rsidR="00815F05">
              <w:rPr>
                <w:b/>
              </w:rPr>
              <w:t>uccess measures</w:t>
            </w:r>
          </w:p>
        </w:tc>
      </w:tr>
      <w:tr w:rsidR="00815F05" w:rsidTr="0079799D">
        <w:trPr>
          <w:trHeight w:val="420"/>
        </w:trPr>
        <w:tc>
          <w:tcPr>
            <w:tcW w:w="3540" w:type="dxa"/>
            <w:vMerge w:val="restart"/>
          </w:tcPr>
          <w:p w:rsidR="00815F05" w:rsidRDefault="005F3A08" w:rsidP="0079799D">
            <w:pPr>
              <w:pStyle w:val="ListParagraph"/>
              <w:numPr>
                <w:ilvl w:val="1"/>
                <w:numId w:val="4"/>
              </w:numPr>
            </w:pPr>
            <w:r>
              <w:t xml:space="preserve">Establish framework and procedures that facilitate recognition of research staff regarding co-authorship and IP rights </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D76946" w:rsidRDefault="005F3A08" w:rsidP="0079799D">
            <w:pPr>
              <w:pStyle w:val="ListParagraph"/>
              <w:numPr>
                <w:ilvl w:val="1"/>
                <w:numId w:val="4"/>
              </w:numPr>
            </w:pPr>
            <w:r>
              <w:t>Provide opportunities for greater career development responsibilities relative to career level</w:t>
            </w:r>
          </w:p>
          <w:p w:rsidR="00A34ADB" w:rsidRDefault="00A34ADB" w:rsidP="00A34ADB">
            <w:pPr>
              <w:pStyle w:val="ListParagraph"/>
              <w:ind w:left="360"/>
            </w:pPr>
          </w:p>
          <w:p w:rsidR="00A34ADB" w:rsidRDefault="00A34ADB" w:rsidP="00A34ADB">
            <w:pPr>
              <w:pStyle w:val="ListParagraph"/>
              <w:ind w:left="360"/>
            </w:pPr>
          </w:p>
          <w:p w:rsidR="00815F05" w:rsidRDefault="005F3A08" w:rsidP="0079799D">
            <w:pPr>
              <w:pStyle w:val="ListParagraph"/>
              <w:numPr>
                <w:ilvl w:val="1"/>
                <w:numId w:val="4"/>
              </w:numPr>
            </w:pPr>
            <w:r>
              <w:t>Establish research staff representation on appropriate University, faculty &amp; School decision – making bodies and Committees</w:t>
            </w:r>
          </w:p>
          <w:p w:rsidR="00942E9F" w:rsidRDefault="00942E9F" w:rsidP="00942E9F"/>
          <w:p w:rsidR="005F3A08" w:rsidRDefault="005F3A08" w:rsidP="0079799D">
            <w:pPr>
              <w:pStyle w:val="ListParagraph"/>
              <w:numPr>
                <w:ilvl w:val="1"/>
                <w:numId w:val="4"/>
              </w:numPr>
            </w:pPr>
            <w:r>
              <w:t xml:space="preserve">Enhance sense of community and belonging amongst The University’s </w:t>
            </w:r>
            <w:r w:rsidR="00D76946">
              <w:t>research</w:t>
            </w:r>
            <w:r>
              <w:t xml:space="preserve"> staff </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815F05" w:rsidRDefault="005F3A08" w:rsidP="0079799D">
            <w:pPr>
              <w:pStyle w:val="ListParagraph"/>
              <w:numPr>
                <w:ilvl w:val="1"/>
                <w:numId w:val="4"/>
              </w:numPr>
            </w:pPr>
            <w:r>
              <w:t xml:space="preserve">Establish PI </w:t>
            </w:r>
            <w:r w:rsidR="00D76946">
              <w:t>training</w:t>
            </w:r>
            <w:r>
              <w:t xml:space="preserve"> and development needs by conducting an internal </w:t>
            </w:r>
            <w:r w:rsidR="00D76946">
              <w:t>questionnaire</w:t>
            </w:r>
            <w:r>
              <w:t xml:space="preserve"> </w:t>
            </w:r>
            <w:r w:rsidR="00D76946">
              <w:t>exercise</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942E9F" w:rsidRDefault="00942E9F" w:rsidP="00942E9F">
            <w:pPr>
              <w:pStyle w:val="ListParagraph"/>
              <w:ind w:left="360"/>
            </w:pPr>
          </w:p>
          <w:p w:rsidR="00D76946" w:rsidRDefault="00D76946" w:rsidP="0079799D">
            <w:pPr>
              <w:pStyle w:val="ListParagraph"/>
              <w:numPr>
                <w:ilvl w:val="1"/>
                <w:numId w:val="4"/>
              </w:numPr>
            </w:pPr>
            <w:r>
              <w:t xml:space="preserve">Develop best practice, guidance and training for PIs in their roles as research staff managers, and to raise awareness of the responsibilities the PI has to support the career development of their respective research staff, including awareness of employment T&amp;Cs, promotion pathways etc. Include in content of NAPs and appropriate STDU training courses. </w:t>
            </w: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942E9F" w:rsidRDefault="00942E9F" w:rsidP="00942E9F">
            <w:pPr>
              <w:pStyle w:val="ListParagraph"/>
              <w:ind w:left="360"/>
            </w:pPr>
          </w:p>
          <w:p w:rsidR="00D76946" w:rsidRDefault="00D76946" w:rsidP="0079799D">
            <w:pPr>
              <w:pStyle w:val="ListParagraph"/>
              <w:numPr>
                <w:ilvl w:val="1"/>
                <w:numId w:val="4"/>
              </w:numPr>
            </w:pPr>
            <w:r>
              <w:t xml:space="preserve">Recognise and reward via time allocation, promotion and the annual Performance &amp; Development Review (PDR) the various roles research staff undertake. </w:t>
            </w:r>
          </w:p>
          <w:p w:rsidR="00815F05" w:rsidRPr="00E60FFD" w:rsidRDefault="00815F05" w:rsidP="0079799D"/>
        </w:tc>
        <w:tc>
          <w:tcPr>
            <w:tcW w:w="10410" w:type="dxa"/>
          </w:tcPr>
          <w:p w:rsidR="00815F05" w:rsidRDefault="00C54D6E"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lastRenderedPageBreak/>
              <w:t xml:space="preserve">2.1 </w:t>
            </w:r>
            <w:r w:rsidR="00F873DF">
              <w:rPr>
                <w:rFonts w:ascii="Calibri" w:eastAsia="Times New Roman" w:hAnsi="Calibri" w:cs="Times New Roman"/>
                <w:iCs/>
                <w:color w:val="000000"/>
                <w:lang w:eastAsia="en-GB"/>
              </w:rPr>
              <w:t>It is University standard practice that research staff either publish a</w:t>
            </w:r>
            <w:r w:rsidR="008867B5">
              <w:rPr>
                <w:rFonts w:ascii="Calibri" w:eastAsia="Times New Roman" w:hAnsi="Calibri" w:cs="Times New Roman"/>
                <w:iCs/>
                <w:color w:val="000000"/>
                <w:lang w:eastAsia="en-GB"/>
              </w:rPr>
              <w:t>s</w:t>
            </w:r>
            <w:r w:rsidR="00F873DF">
              <w:rPr>
                <w:rFonts w:ascii="Calibri" w:eastAsia="Times New Roman" w:hAnsi="Calibri" w:cs="Times New Roman"/>
                <w:iCs/>
                <w:color w:val="000000"/>
                <w:lang w:eastAsia="en-GB"/>
              </w:rPr>
              <w:t xml:space="preserve"> single author (Humanities) or joint author (STEM subjects). </w:t>
            </w:r>
            <w:r w:rsidR="008867B5">
              <w:rPr>
                <w:rFonts w:ascii="Calibri" w:eastAsia="Times New Roman" w:hAnsi="Calibri" w:cs="Times New Roman"/>
                <w:iCs/>
                <w:color w:val="000000"/>
                <w:lang w:eastAsia="en-GB"/>
              </w:rPr>
              <w:t xml:space="preserve">The annual PDR </w:t>
            </w:r>
            <w:r w:rsidR="00E925F1">
              <w:rPr>
                <w:rFonts w:ascii="Calibri" w:eastAsia="Times New Roman" w:hAnsi="Calibri" w:cs="Times New Roman"/>
                <w:iCs/>
                <w:color w:val="000000"/>
                <w:lang w:eastAsia="en-GB"/>
              </w:rPr>
              <w:t xml:space="preserve">is intended to </w:t>
            </w:r>
            <w:r w:rsidR="00F873DF">
              <w:rPr>
                <w:rFonts w:ascii="Calibri" w:eastAsia="Times New Roman" w:hAnsi="Calibri" w:cs="Times New Roman"/>
                <w:iCs/>
                <w:color w:val="000000"/>
                <w:lang w:eastAsia="en-GB"/>
              </w:rPr>
              <w:t xml:space="preserve">include opportunity for a direct discussion about publications/IP issues on an annual basis. Guidance and advice on IP issues is </w:t>
            </w:r>
            <w:r w:rsidR="00977255">
              <w:rPr>
                <w:rFonts w:ascii="Calibri" w:eastAsia="Times New Roman" w:hAnsi="Calibri" w:cs="Times New Roman"/>
                <w:iCs/>
                <w:color w:val="000000"/>
                <w:lang w:eastAsia="en-GB"/>
              </w:rPr>
              <w:t>obtained</w:t>
            </w:r>
            <w:r w:rsidR="00F873DF">
              <w:rPr>
                <w:rFonts w:ascii="Calibri" w:eastAsia="Times New Roman" w:hAnsi="Calibri" w:cs="Times New Roman"/>
                <w:iCs/>
                <w:color w:val="000000"/>
                <w:lang w:eastAsia="en-GB"/>
              </w:rPr>
              <w:t xml:space="preserve"> from The </w:t>
            </w:r>
            <w:r w:rsidR="00977255">
              <w:rPr>
                <w:rFonts w:ascii="Calibri" w:eastAsia="Times New Roman" w:hAnsi="Calibri" w:cs="Times New Roman"/>
                <w:iCs/>
                <w:color w:val="000000"/>
                <w:lang w:eastAsia="en-GB"/>
              </w:rPr>
              <w:t>University</w:t>
            </w:r>
            <w:r w:rsidR="00F873DF">
              <w:rPr>
                <w:rFonts w:ascii="Calibri" w:eastAsia="Times New Roman" w:hAnsi="Calibri" w:cs="Times New Roman"/>
                <w:iCs/>
                <w:color w:val="000000"/>
                <w:lang w:eastAsia="en-GB"/>
              </w:rPr>
              <w:t xml:space="preserve"> Business </w:t>
            </w:r>
            <w:r w:rsidR="00977255">
              <w:rPr>
                <w:rFonts w:ascii="Calibri" w:eastAsia="Times New Roman" w:hAnsi="Calibri" w:cs="Times New Roman"/>
                <w:iCs/>
                <w:color w:val="000000"/>
                <w:lang w:eastAsia="en-GB"/>
              </w:rPr>
              <w:t>Engagement</w:t>
            </w:r>
            <w:r w:rsidR="00F873DF">
              <w:rPr>
                <w:rFonts w:ascii="Calibri" w:eastAsia="Times New Roman" w:hAnsi="Calibri" w:cs="Times New Roman"/>
                <w:iCs/>
                <w:color w:val="000000"/>
                <w:lang w:eastAsia="en-GB"/>
              </w:rPr>
              <w:t xml:space="preserve"> Team </w:t>
            </w:r>
            <w:r w:rsidR="00E925F1">
              <w:rPr>
                <w:rFonts w:ascii="Calibri" w:eastAsia="Times New Roman" w:hAnsi="Calibri" w:cs="Times New Roman"/>
                <w:iCs/>
                <w:color w:val="000000"/>
                <w:lang w:eastAsia="en-GB"/>
              </w:rPr>
              <w:t>and</w:t>
            </w:r>
            <w:r w:rsidR="00F873DF">
              <w:rPr>
                <w:rFonts w:ascii="Calibri" w:eastAsia="Times New Roman" w:hAnsi="Calibri" w:cs="Times New Roman"/>
                <w:iCs/>
                <w:color w:val="000000"/>
                <w:lang w:eastAsia="en-GB"/>
              </w:rPr>
              <w:t xml:space="preserve"> </w:t>
            </w:r>
            <w:r w:rsidR="00977255">
              <w:rPr>
                <w:rFonts w:ascii="Calibri" w:eastAsia="Times New Roman" w:hAnsi="Calibri" w:cs="Times New Roman"/>
                <w:iCs/>
                <w:color w:val="000000"/>
                <w:lang w:eastAsia="en-GB"/>
              </w:rPr>
              <w:t xml:space="preserve">The University’s innovation company, </w:t>
            </w:r>
            <w:hyperlink r:id="rId9" w:history="1">
              <w:r w:rsidR="00977255" w:rsidRPr="00977255">
                <w:rPr>
                  <w:rStyle w:val="Hyperlink"/>
                  <w:rFonts w:ascii="Calibri" w:eastAsia="Times New Roman" w:hAnsi="Calibri" w:cs="Times New Roman"/>
                  <w:iCs/>
                  <w:lang w:eastAsia="en-GB"/>
                </w:rPr>
                <w:t>UMI</w:t>
              </w:r>
              <w:r w:rsidR="00977255" w:rsidRPr="00977255">
                <w:rPr>
                  <w:rStyle w:val="Hyperlink"/>
                  <w:rFonts w:ascii="Calibri" w:eastAsia="Times New Roman" w:hAnsi="Calibri" w:cs="Times New Roman"/>
                  <w:iCs/>
                  <w:vertAlign w:val="superscript"/>
                  <w:lang w:eastAsia="en-GB"/>
                </w:rPr>
                <w:t>3</w:t>
              </w:r>
            </w:hyperlink>
            <w:r w:rsidR="00977255">
              <w:rPr>
                <w:rFonts w:ascii="Calibri" w:eastAsia="Times New Roman" w:hAnsi="Calibri" w:cs="Times New Roman"/>
                <w:iCs/>
                <w:color w:val="000000"/>
                <w:lang w:eastAsia="en-GB"/>
              </w:rPr>
              <w:t>.  The University also has a</w:t>
            </w:r>
            <w:r w:rsidR="00E925F1">
              <w:rPr>
                <w:rFonts w:ascii="Calibri" w:eastAsia="Times New Roman" w:hAnsi="Calibri" w:cs="Times New Roman"/>
                <w:iCs/>
                <w:color w:val="000000"/>
                <w:lang w:eastAsia="en-GB"/>
              </w:rPr>
              <w:t xml:space="preserve"> published </w:t>
            </w:r>
            <w:hyperlink r:id="rId10" w:history="1">
              <w:r w:rsidR="00977255" w:rsidRPr="008867B5">
                <w:rPr>
                  <w:rStyle w:val="Hyperlink"/>
                  <w:rFonts w:ascii="Calibri" w:eastAsia="Times New Roman" w:hAnsi="Calibri" w:cs="Times New Roman"/>
                  <w:iCs/>
                  <w:lang w:eastAsia="en-GB"/>
                </w:rPr>
                <w:t>IP Policy</w:t>
              </w:r>
            </w:hyperlink>
            <w:r w:rsidR="00977255">
              <w:rPr>
                <w:rFonts w:ascii="Calibri" w:eastAsia="Times New Roman" w:hAnsi="Calibri" w:cs="Times New Roman"/>
                <w:iCs/>
                <w:color w:val="000000"/>
                <w:lang w:eastAsia="en-GB"/>
              </w:rPr>
              <w:t xml:space="preserve"> for reference by research staff and PIs. </w:t>
            </w:r>
          </w:p>
          <w:p w:rsidR="008867B5" w:rsidRDefault="008867B5"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However, feedback collected </w:t>
            </w:r>
            <w:r w:rsidR="00E925F1">
              <w:rPr>
                <w:rFonts w:ascii="Calibri" w:eastAsia="Times New Roman" w:hAnsi="Calibri" w:cs="Times New Roman"/>
                <w:iCs/>
                <w:color w:val="000000"/>
                <w:lang w:eastAsia="en-GB"/>
              </w:rPr>
              <w:t>from</w:t>
            </w:r>
            <w:r>
              <w:rPr>
                <w:rFonts w:ascii="Calibri" w:eastAsia="Times New Roman" w:hAnsi="Calibri" w:cs="Times New Roman"/>
                <w:iCs/>
                <w:color w:val="000000"/>
                <w:lang w:eastAsia="en-GB"/>
              </w:rPr>
              <w:t xml:space="preserve"> research </w:t>
            </w:r>
            <w:r w:rsidR="00506621">
              <w:rPr>
                <w:rFonts w:ascii="Calibri" w:eastAsia="Times New Roman" w:hAnsi="Calibri" w:cs="Times New Roman"/>
                <w:iCs/>
                <w:color w:val="000000"/>
                <w:lang w:eastAsia="en-GB"/>
              </w:rPr>
              <w:t>staff suggests</w:t>
            </w:r>
            <w:r>
              <w:rPr>
                <w:rFonts w:ascii="Calibri" w:eastAsia="Times New Roman" w:hAnsi="Calibri" w:cs="Times New Roman"/>
                <w:iCs/>
                <w:color w:val="000000"/>
                <w:lang w:eastAsia="en-GB"/>
              </w:rPr>
              <w:t xml:space="preserve"> that discussions can be variable and PI-dependent, </w:t>
            </w:r>
            <w:r w:rsidR="00506621">
              <w:rPr>
                <w:rFonts w:ascii="Calibri" w:eastAsia="Times New Roman" w:hAnsi="Calibri" w:cs="Times New Roman"/>
                <w:iCs/>
                <w:color w:val="000000"/>
                <w:lang w:eastAsia="en-GB"/>
              </w:rPr>
              <w:t>and can</w:t>
            </w:r>
            <w:r>
              <w:rPr>
                <w:rFonts w:ascii="Calibri" w:eastAsia="Times New Roman" w:hAnsi="Calibri" w:cs="Times New Roman"/>
                <w:iCs/>
                <w:color w:val="000000"/>
                <w:lang w:eastAsia="en-GB"/>
              </w:rPr>
              <w:t xml:space="preserve"> be difficult to have. </w:t>
            </w:r>
            <w:r w:rsidR="002D09F5">
              <w:rPr>
                <w:rFonts w:ascii="Calibri" w:eastAsia="Times New Roman" w:hAnsi="Calibri" w:cs="Times New Roman"/>
                <w:iCs/>
                <w:color w:val="000000"/>
                <w:lang w:eastAsia="en-GB"/>
              </w:rPr>
              <w:t>Furthermore</w:t>
            </w:r>
            <w:r>
              <w:rPr>
                <w:rFonts w:ascii="Calibri" w:eastAsia="Times New Roman" w:hAnsi="Calibri" w:cs="Times New Roman"/>
                <w:iCs/>
                <w:color w:val="000000"/>
                <w:lang w:eastAsia="en-GB"/>
              </w:rPr>
              <w:t xml:space="preserve">, some </w:t>
            </w:r>
            <w:r w:rsidR="002D09F5">
              <w:rPr>
                <w:rFonts w:ascii="Calibri" w:eastAsia="Times New Roman" w:hAnsi="Calibri" w:cs="Times New Roman"/>
                <w:iCs/>
                <w:color w:val="000000"/>
                <w:lang w:eastAsia="en-GB"/>
              </w:rPr>
              <w:t>research</w:t>
            </w:r>
            <w:r>
              <w:rPr>
                <w:rFonts w:ascii="Calibri" w:eastAsia="Times New Roman" w:hAnsi="Calibri" w:cs="Times New Roman"/>
                <w:iCs/>
                <w:color w:val="000000"/>
                <w:lang w:eastAsia="en-GB"/>
              </w:rPr>
              <w:t xml:space="preserve"> </w:t>
            </w:r>
            <w:r w:rsidR="002D09F5">
              <w:rPr>
                <w:rFonts w:ascii="Calibri" w:eastAsia="Times New Roman" w:hAnsi="Calibri" w:cs="Times New Roman"/>
                <w:iCs/>
                <w:color w:val="000000"/>
                <w:lang w:eastAsia="en-GB"/>
              </w:rPr>
              <w:t>staff report that those involve</w:t>
            </w:r>
            <w:r>
              <w:rPr>
                <w:rFonts w:ascii="Calibri" w:eastAsia="Times New Roman" w:hAnsi="Calibri" w:cs="Times New Roman"/>
                <w:iCs/>
                <w:color w:val="000000"/>
                <w:lang w:eastAsia="en-GB"/>
              </w:rPr>
              <w:t>d</w:t>
            </w:r>
            <w:r w:rsidR="002D09F5">
              <w:rPr>
                <w:rFonts w:ascii="Calibri" w:eastAsia="Times New Roman" w:hAnsi="Calibri" w:cs="Times New Roman"/>
                <w:iCs/>
                <w:color w:val="000000"/>
                <w:lang w:eastAsia="en-GB"/>
              </w:rPr>
              <w:t xml:space="preserve"> </w:t>
            </w:r>
            <w:r>
              <w:rPr>
                <w:rFonts w:ascii="Calibri" w:eastAsia="Times New Roman" w:hAnsi="Calibri" w:cs="Times New Roman"/>
                <w:iCs/>
                <w:color w:val="000000"/>
                <w:lang w:eastAsia="en-GB"/>
              </w:rPr>
              <w:t>in multidisciplinary projects</w:t>
            </w:r>
            <w:r w:rsidR="002D09F5">
              <w:rPr>
                <w:rFonts w:ascii="Calibri" w:eastAsia="Times New Roman" w:hAnsi="Calibri" w:cs="Times New Roman"/>
                <w:iCs/>
                <w:color w:val="000000"/>
                <w:lang w:eastAsia="en-GB"/>
              </w:rPr>
              <w:t xml:space="preserve"> business-orientated research groups</w:t>
            </w:r>
            <w:r>
              <w:rPr>
                <w:rFonts w:ascii="Calibri" w:eastAsia="Times New Roman" w:hAnsi="Calibri" w:cs="Times New Roman"/>
                <w:iCs/>
                <w:color w:val="000000"/>
                <w:lang w:eastAsia="en-GB"/>
              </w:rPr>
              <w:t xml:space="preserve">, </w:t>
            </w:r>
            <w:r w:rsidR="002D09F5">
              <w:rPr>
                <w:rFonts w:ascii="Calibri" w:eastAsia="Times New Roman" w:hAnsi="Calibri" w:cs="Times New Roman"/>
                <w:iCs/>
                <w:color w:val="000000"/>
                <w:lang w:eastAsia="en-GB"/>
              </w:rPr>
              <w:t>authorship</w:t>
            </w:r>
            <w:r>
              <w:rPr>
                <w:rFonts w:ascii="Calibri" w:eastAsia="Times New Roman" w:hAnsi="Calibri" w:cs="Times New Roman"/>
                <w:iCs/>
                <w:color w:val="000000"/>
                <w:lang w:eastAsia="en-GB"/>
              </w:rPr>
              <w:t xml:space="preserve"> </w:t>
            </w:r>
            <w:r w:rsidR="002D09F5">
              <w:rPr>
                <w:rFonts w:ascii="Calibri" w:eastAsia="Times New Roman" w:hAnsi="Calibri" w:cs="Times New Roman"/>
                <w:iCs/>
                <w:color w:val="000000"/>
                <w:lang w:eastAsia="en-GB"/>
              </w:rPr>
              <w:t xml:space="preserve">and publication/promotion issues, respectively, can be more difficult to navigate. </w:t>
            </w:r>
            <w:r>
              <w:rPr>
                <w:rFonts w:ascii="Calibri" w:eastAsia="Times New Roman" w:hAnsi="Calibri" w:cs="Times New Roman"/>
                <w:iCs/>
                <w:color w:val="000000"/>
                <w:lang w:eastAsia="en-GB"/>
              </w:rPr>
              <w:t xml:space="preserve"> </w:t>
            </w:r>
          </w:p>
          <w:p w:rsidR="00C54D6E" w:rsidRDefault="00C54D6E"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To support research staff in obtaining due authorship and IP rights, guidance and support for both research staff and PIs in both areas are required. In addition, the mandatory training for PIs/line managers will include modules on University practices regarding authorship and IP and how to conduct such conversations during the formal PDR with the reviewee (research staff member).  Finally, a section on authorship and IP will be added to the Research Staff Handbook.  </w:t>
            </w:r>
          </w:p>
          <w:p w:rsidR="00C54D6E" w:rsidRPr="00C54D6E" w:rsidRDefault="00C54D6E"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2.2 </w:t>
            </w:r>
            <w:r w:rsidRPr="00C54D6E">
              <w:rPr>
                <w:rFonts w:ascii="Calibri" w:eastAsia="Times New Roman" w:hAnsi="Calibri" w:cs="Times New Roman"/>
                <w:iCs/>
                <w:color w:val="000000"/>
                <w:lang w:eastAsia="en-GB"/>
              </w:rPr>
              <w:t>Dedicated Faculty-based Researcher Development teams and PSS directorates continue to work hard to develop and maintain a broad and relevant scope of training for research staff.</w:t>
            </w:r>
          </w:p>
          <w:p w:rsidR="00F0538E" w:rsidRPr="00206FF7" w:rsidRDefault="00F0538E" w:rsidP="0079799D">
            <w:pPr>
              <w:rPr>
                <w:rFonts w:ascii="Calibri" w:eastAsia="Times New Roman" w:hAnsi="Calibri" w:cs="Times New Roman"/>
                <w:b/>
                <w:iCs/>
                <w:color w:val="000000"/>
                <w:lang w:eastAsia="en-GB"/>
              </w:rPr>
            </w:pPr>
            <w:r w:rsidRPr="00206FF7">
              <w:rPr>
                <w:rFonts w:ascii="Calibri" w:eastAsia="Times New Roman" w:hAnsi="Calibri" w:cs="Times New Roman"/>
                <w:b/>
                <w:iCs/>
                <w:color w:val="000000"/>
                <w:u w:val="single"/>
                <w:lang w:eastAsia="en-GB"/>
              </w:rPr>
              <w:t>CROS supporting evidence</w:t>
            </w:r>
            <w:r>
              <w:rPr>
                <w:rFonts w:ascii="Calibri" w:eastAsia="Times New Roman" w:hAnsi="Calibri" w:cs="Times New Roman"/>
                <w:iCs/>
                <w:color w:val="000000"/>
                <w:lang w:eastAsia="en-GB"/>
              </w:rPr>
              <w:t xml:space="preserve">: </w:t>
            </w:r>
            <w:r w:rsidRPr="00206FF7">
              <w:rPr>
                <w:rFonts w:ascii="Calibri" w:eastAsia="Times New Roman" w:hAnsi="Calibri" w:cs="Times New Roman"/>
                <w:b/>
                <w:iCs/>
                <w:color w:val="000000"/>
                <w:lang w:eastAsia="en-GB"/>
              </w:rPr>
              <w:t xml:space="preserve">72% and 86% of respondents to CROS 2015, respectively, agreed that they were encouraged to engage in personal and career development and encouraged to take ownership of their own </w:t>
            </w:r>
            <w:r w:rsidRPr="00206FF7">
              <w:rPr>
                <w:rFonts w:ascii="Calibri" w:eastAsia="Times New Roman" w:hAnsi="Calibri" w:cs="Times New Roman"/>
                <w:b/>
                <w:iCs/>
                <w:color w:val="000000"/>
                <w:lang w:eastAsia="en-GB"/>
              </w:rPr>
              <w:lastRenderedPageBreak/>
              <w:t xml:space="preserve">career development. </w:t>
            </w:r>
          </w:p>
          <w:p w:rsidR="00A34ADB" w:rsidRDefault="00942E9F"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2.3 Research Staff representation established at the institutional level on the senior Research Staff Development Working Group. The University also has a very active Research Staff Association, which interacts with stakeholders across The University, including HR. At a Faculty level, two of the four Faculties have established effective Research Staff Fora and The University is seeking to rollout this good practice in the remaining two by Sept 2016.  </w:t>
            </w:r>
          </w:p>
          <w:p w:rsidR="00A34ADB" w:rsidRDefault="00A34ADB" w:rsidP="0079799D">
            <w:pPr>
              <w:rPr>
                <w:rFonts w:ascii="Calibri" w:eastAsia="Times New Roman" w:hAnsi="Calibri" w:cs="Times New Roman"/>
                <w:iCs/>
                <w:color w:val="000000"/>
                <w:lang w:eastAsia="en-GB"/>
              </w:rPr>
            </w:pPr>
          </w:p>
          <w:p w:rsidR="002D09F5" w:rsidRDefault="00C54D6E"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2.4 </w:t>
            </w:r>
            <w:r w:rsidR="002D09F5">
              <w:rPr>
                <w:rFonts w:ascii="Calibri" w:eastAsia="Times New Roman" w:hAnsi="Calibri" w:cs="Times New Roman"/>
                <w:iCs/>
                <w:color w:val="000000"/>
                <w:lang w:eastAsia="en-GB"/>
              </w:rPr>
              <w:t xml:space="preserve">Substantial efforts have been made to </w:t>
            </w:r>
            <w:r w:rsidR="00506621">
              <w:rPr>
                <w:rFonts w:ascii="Calibri" w:eastAsia="Times New Roman" w:hAnsi="Calibri" w:cs="Times New Roman"/>
                <w:iCs/>
                <w:color w:val="000000"/>
                <w:lang w:eastAsia="en-GB"/>
              </w:rPr>
              <w:t>improve</w:t>
            </w:r>
            <w:r w:rsidR="002D09F5">
              <w:rPr>
                <w:rFonts w:ascii="Calibri" w:eastAsia="Times New Roman" w:hAnsi="Calibri" w:cs="Times New Roman"/>
                <w:iCs/>
                <w:color w:val="000000"/>
                <w:lang w:eastAsia="en-GB"/>
              </w:rPr>
              <w:t xml:space="preserve"> and strengthen </w:t>
            </w:r>
            <w:r w:rsidR="00506621">
              <w:rPr>
                <w:rFonts w:ascii="Calibri" w:eastAsia="Times New Roman" w:hAnsi="Calibri" w:cs="Times New Roman"/>
                <w:iCs/>
                <w:color w:val="000000"/>
                <w:lang w:eastAsia="en-GB"/>
              </w:rPr>
              <w:t>research</w:t>
            </w:r>
            <w:r w:rsidR="002D09F5">
              <w:rPr>
                <w:rFonts w:ascii="Calibri" w:eastAsia="Times New Roman" w:hAnsi="Calibri" w:cs="Times New Roman"/>
                <w:iCs/>
                <w:color w:val="000000"/>
                <w:lang w:eastAsia="en-GB"/>
              </w:rPr>
              <w:t xml:space="preserve"> staff representation across The </w:t>
            </w:r>
            <w:r w:rsidR="00506621">
              <w:rPr>
                <w:rFonts w:ascii="Calibri" w:eastAsia="Times New Roman" w:hAnsi="Calibri" w:cs="Times New Roman"/>
                <w:iCs/>
                <w:color w:val="000000"/>
                <w:lang w:eastAsia="en-GB"/>
              </w:rPr>
              <w:t xml:space="preserve">University for several </w:t>
            </w:r>
            <w:proofErr w:type="gramStart"/>
            <w:r w:rsidR="00506621">
              <w:rPr>
                <w:rFonts w:ascii="Calibri" w:eastAsia="Times New Roman" w:hAnsi="Calibri" w:cs="Times New Roman"/>
                <w:iCs/>
                <w:color w:val="000000"/>
                <w:lang w:eastAsia="en-GB"/>
              </w:rPr>
              <w:t>reasons,</w:t>
            </w:r>
            <w:proofErr w:type="gramEnd"/>
            <w:r w:rsidR="00506621">
              <w:rPr>
                <w:rFonts w:ascii="Calibri" w:eastAsia="Times New Roman" w:hAnsi="Calibri" w:cs="Times New Roman"/>
                <w:iCs/>
                <w:color w:val="000000"/>
                <w:lang w:eastAsia="en-GB"/>
              </w:rPr>
              <w:t xml:space="preserve"> including </w:t>
            </w:r>
            <w:r w:rsidR="00536037">
              <w:rPr>
                <w:rFonts w:ascii="Calibri" w:eastAsia="Times New Roman" w:hAnsi="Calibri" w:cs="Times New Roman"/>
                <w:iCs/>
                <w:color w:val="000000"/>
                <w:lang w:eastAsia="en-GB"/>
              </w:rPr>
              <w:t xml:space="preserve">assisting </w:t>
            </w:r>
            <w:r w:rsidR="00F0538E">
              <w:rPr>
                <w:rFonts w:ascii="Calibri" w:eastAsia="Times New Roman" w:hAnsi="Calibri" w:cs="Times New Roman"/>
                <w:iCs/>
                <w:color w:val="000000"/>
                <w:lang w:eastAsia="en-GB"/>
              </w:rPr>
              <w:t>research</w:t>
            </w:r>
            <w:r w:rsidR="008B20E4">
              <w:rPr>
                <w:rFonts w:ascii="Calibri" w:eastAsia="Times New Roman" w:hAnsi="Calibri" w:cs="Times New Roman"/>
                <w:iCs/>
                <w:color w:val="000000"/>
                <w:lang w:eastAsia="en-GB"/>
              </w:rPr>
              <w:t xml:space="preserve"> staff feel more integrated into their local and University research community</w:t>
            </w:r>
            <w:r>
              <w:rPr>
                <w:rFonts w:ascii="Calibri" w:eastAsia="Times New Roman" w:hAnsi="Calibri" w:cs="Times New Roman"/>
                <w:iCs/>
                <w:color w:val="000000"/>
                <w:lang w:eastAsia="en-GB"/>
              </w:rPr>
              <w:t>, and</w:t>
            </w:r>
            <w:r w:rsidR="008B20E4">
              <w:rPr>
                <w:rFonts w:ascii="Calibri" w:eastAsia="Times New Roman" w:hAnsi="Calibri" w:cs="Times New Roman"/>
                <w:iCs/>
                <w:color w:val="000000"/>
                <w:lang w:eastAsia="en-GB"/>
              </w:rPr>
              <w:t xml:space="preserve"> </w:t>
            </w:r>
            <w:r w:rsidR="00506621">
              <w:rPr>
                <w:rFonts w:ascii="Calibri" w:eastAsia="Times New Roman" w:hAnsi="Calibri" w:cs="Times New Roman"/>
                <w:iCs/>
                <w:color w:val="000000"/>
                <w:lang w:eastAsia="en-GB"/>
              </w:rPr>
              <w:t xml:space="preserve">developing effective two-way channels of communication between University senior management and research staff.  </w:t>
            </w:r>
            <w:r w:rsidR="00536037">
              <w:rPr>
                <w:rFonts w:ascii="Calibri" w:eastAsia="Times New Roman" w:hAnsi="Calibri" w:cs="Times New Roman"/>
                <w:iCs/>
                <w:color w:val="000000"/>
                <w:lang w:eastAsia="en-GB"/>
              </w:rPr>
              <w:t xml:space="preserve">With the formation of Research Staff Fora in two of the four University Faculties and </w:t>
            </w:r>
            <w:r w:rsidR="007A7F85">
              <w:rPr>
                <w:rFonts w:ascii="Calibri" w:eastAsia="Times New Roman" w:hAnsi="Calibri" w:cs="Times New Roman"/>
                <w:iCs/>
                <w:color w:val="000000"/>
                <w:lang w:eastAsia="en-GB"/>
              </w:rPr>
              <w:t xml:space="preserve">research staff </w:t>
            </w:r>
            <w:r w:rsidR="00536037">
              <w:rPr>
                <w:rFonts w:ascii="Calibri" w:eastAsia="Times New Roman" w:hAnsi="Calibri" w:cs="Times New Roman"/>
                <w:iCs/>
                <w:color w:val="000000"/>
                <w:lang w:eastAsia="en-GB"/>
              </w:rPr>
              <w:t>representation on various local and institution Committees (The University Research Staff Development Working Group [chaired by The Associate Vice President for Research], Athena Swan, R</w:t>
            </w:r>
            <w:r w:rsidR="007A7F85">
              <w:rPr>
                <w:rFonts w:ascii="Calibri" w:eastAsia="Times New Roman" w:hAnsi="Calibri" w:cs="Times New Roman"/>
                <w:iCs/>
                <w:color w:val="000000"/>
                <w:lang w:eastAsia="en-GB"/>
              </w:rPr>
              <w:t>esearch Staff Association</w:t>
            </w:r>
            <w:r w:rsidR="00536037">
              <w:rPr>
                <w:rFonts w:ascii="Calibri" w:eastAsia="Times New Roman" w:hAnsi="Calibri" w:cs="Times New Roman"/>
                <w:iCs/>
                <w:color w:val="000000"/>
                <w:lang w:eastAsia="en-GB"/>
              </w:rPr>
              <w:t xml:space="preserve">) and at several Faculty meetings, research staff have a growing representation at The University.  </w:t>
            </w:r>
            <w:r w:rsidR="007A7F85">
              <w:rPr>
                <w:rFonts w:ascii="Calibri" w:eastAsia="Times New Roman" w:hAnsi="Calibri" w:cs="Times New Roman"/>
                <w:iCs/>
                <w:color w:val="000000"/>
                <w:lang w:eastAsia="en-GB"/>
              </w:rPr>
              <w:t xml:space="preserve">Work is underway </w:t>
            </w:r>
            <w:r w:rsidR="00506621">
              <w:rPr>
                <w:rFonts w:ascii="Calibri" w:eastAsia="Times New Roman" w:hAnsi="Calibri" w:cs="Times New Roman"/>
                <w:iCs/>
                <w:color w:val="000000"/>
                <w:lang w:eastAsia="en-GB"/>
              </w:rPr>
              <w:t xml:space="preserve">to assist the development of </w:t>
            </w:r>
            <w:r w:rsidR="007A7F85">
              <w:rPr>
                <w:rFonts w:ascii="Calibri" w:eastAsia="Times New Roman" w:hAnsi="Calibri" w:cs="Times New Roman"/>
                <w:iCs/>
                <w:color w:val="000000"/>
                <w:lang w:eastAsia="en-GB"/>
              </w:rPr>
              <w:t xml:space="preserve">Research Staff Fora </w:t>
            </w:r>
            <w:r w:rsidR="00506621">
              <w:rPr>
                <w:rFonts w:ascii="Calibri" w:eastAsia="Times New Roman" w:hAnsi="Calibri" w:cs="Times New Roman"/>
                <w:iCs/>
                <w:color w:val="000000"/>
                <w:lang w:eastAsia="en-GB"/>
              </w:rPr>
              <w:t xml:space="preserve">in the remaining two faculties.  </w:t>
            </w:r>
            <w:r w:rsidR="007A7F85">
              <w:rPr>
                <w:rFonts w:ascii="Calibri" w:eastAsia="Times New Roman" w:hAnsi="Calibri" w:cs="Times New Roman"/>
                <w:iCs/>
                <w:color w:val="000000"/>
                <w:lang w:eastAsia="en-GB"/>
              </w:rPr>
              <w:t>in</w:t>
            </w:r>
          </w:p>
          <w:p w:rsidR="008B20E4" w:rsidRPr="00920053" w:rsidRDefault="008B20E4" w:rsidP="0079799D">
            <w:pPr>
              <w:rPr>
                <w:rFonts w:ascii="Calibri" w:eastAsia="Times New Roman" w:hAnsi="Calibri" w:cs="Times New Roman"/>
                <w:b/>
                <w:iCs/>
                <w:color w:val="000000"/>
                <w:lang w:eastAsia="en-GB"/>
              </w:rPr>
            </w:pPr>
            <w:r w:rsidRPr="00920053">
              <w:rPr>
                <w:rFonts w:ascii="Calibri" w:eastAsia="Times New Roman" w:hAnsi="Calibri" w:cs="Times New Roman"/>
                <w:b/>
                <w:iCs/>
                <w:color w:val="000000"/>
                <w:u w:val="single"/>
                <w:lang w:eastAsia="en-GB"/>
              </w:rPr>
              <w:t xml:space="preserve">CROS </w:t>
            </w:r>
            <w:r w:rsidR="00920053" w:rsidRPr="00920053">
              <w:rPr>
                <w:rFonts w:ascii="Calibri" w:eastAsia="Times New Roman" w:hAnsi="Calibri" w:cs="Times New Roman"/>
                <w:b/>
                <w:iCs/>
                <w:color w:val="000000"/>
                <w:u w:val="single"/>
                <w:lang w:eastAsia="en-GB"/>
              </w:rPr>
              <w:t xml:space="preserve">supporting </w:t>
            </w:r>
            <w:r w:rsidRPr="00920053">
              <w:rPr>
                <w:rFonts w:ascii="Calibri" w:eastAsia="Times New Roman" w:hAnsi="Calibri" w:cs="Times New Roman"/>
                <w:b/>
                <w:iCs/>
                <w:color w:val="000000"/>
                <w:u w:val="single"/>
                <w:lang w:eastAsia="en-GB"/>
              </w:rPr>
              <w:t>evidence</w:t>
            </w:r>
            <w:r w:rsidR="00920053">
              <w:rPr>
                <w:rFonts w:ascii="Calibri" w:eastAsia="Times New Roman" w:hAnsi="Calibri" w:cs="Times New Roman"/>
                <w:b/>
                <w:iCs/>
                <w:color w:val="000000"/>
                <w:lang w:eastAsia="en-GB"/>
              </w:rPr>
              <w:t>:</w:t>
            </w:r>
            <w:r w:rsidRPr="00920053">
              <w:rPr>
                <w:rFonts w:ascii="Calibri" w:eastAsia="Times New Roman" w:hAnsi="Calibri" w:cs="Times New Roman"/>
                <w:b/>
                <w:iCs/>
                <w:color w:val="000000"/>
                <w:lang w:eastAsia="en-GB"/>
              </w:rPr>
              <w:t xml:space="preserve"> </w:t>
            </w:r>
            <w:r w:rsidR="007A7F85">
              <w:rPr>
                <w:rFonts w:ascii="Calibri" w:eastAsia="Times New Roman" w:hAnsi="Calibri" w:cs="Times New Roman"/>
                <w:b/>
                <w:iCs/>
                <w:color w:val="000000"/>
                <w:lang w:eastAsia="en-GB"/>
              </w:rPr>
              <w:t>There has been a 5% and 3% increase</w:t>
            </w:r>
            <w:r w:rsidRPr="00920053">
              <w:rPr>
                <w:rFonts w:ascii="Calibri" w:eastAsia="Times New Roman" w:hAnsi="Calibri" w:cs="Times New Roman"/>
                <w:b/>
                <w:iCs/>
                <w:color w:val="000000"/>
                <w:lang w:eastAsia="en-GB"/>
              </w:rPr>
              <w:t xml:space="preserve"> </w:t>
            </w:r>
            <w:r w:rsidR="00920053" w:rsidRPr="00920053">
              <w:rPr>
                <w:rFonts w:ascii="Calibri" w:eastAsia="Times New Roman" w:hAnsi="Calibri" w:cs="Times New Roman"/>
                <w:b/>
                <w:iCs/>
                <w:color w:val="000000"/>
                <w:lang w:eastAsia="en-GB"/>
              </w:rPr>
              <w:t xml:space="preserve">from 2013 to 2015 </w:t>
            </w:r>
            <w:r w:rsidRPr="00920053">
              <w:rPr>
                <w:rFonts w:ascii="Calibri" w:eastAsia="Times New Roman" w:hAnsi="Calibri" w:cs="Times New Roman"/>
                <w:b/>
                <w:iCs/>
                <w:color w:val="000000"/>
                <w:lang w:eastAsia="en-GB"/>
              </w:rPr>
              <w:t xml:space="preserve">in </w:t>
            </w:r>
            <w:r w:rsidR="00920053" w:rsidRPr="00920053">
              <w:rPr>
                <w:rFonts w:ascii="Calibri" w:eastAsia="Times New Roman" w:hAnsi="Calibri" w:cs="Times New Roman"/>
                <w:b/>
                <w:iCs/>
                <w:color w:val="000000"/>
                <w:lang w:eastAsia="en-GB"/>
              </w:rPr>
              <w:t>the number of research staff feeling integrated into the local and institution’s research communities</w:t>
            </w:r>
            <w:r w:rsidR="007A7F85">
              <w:rPr>
                <w:rFonts w:ascii="Calibri" w:eastAsia="Times New Roman" w:hAnsi="Calibri" w:cs="Times New Roman"/>
                <w:b/>
                <w:iCs/>
                <w:color w:val="000000"/>
                <w:lang w:eastAsia="en-GB"/>
              </w:rPr>
              <w:t xml:space="preserve">, </w:t>
            </w:r>
            <w:r w:rsidR="007A7F85" w:rsidRPr="00920053">
              <w:rPr>
                <w:rFonts w:ascii="Calibri" w:eastAsia="Times New Roman" w:hAnsi="Calibri" w:cs="Times New Roman"/>
                <w:b/>
                <w:iCs/>
                <w:color w:val="000000"/>
                <w:lang w:eastAsia="en-GB"/>
              </w:rPr>
              <w:t>respectively</w:t>
            </w:r>
            <w:r w:rsidR="00920053" w:rsidRPr="00920053">
              <w:rPr>
                <w:rFonts w:ascii="Calibri" w:eastAsia="Times New Roman" w:hAnsi="Calibri" w:cs="Times New Roman"/>
                <w:b/>
                <w:iCs/>
                <w:color w:val="000000"/>
                <w:lang w:eastAsia="en-GB"/>
              </w:rPr>
              <w:t xml:space="preserve">. </w:t>
            </w:r>
            <w:r w:rsidRPr="00920053">
              <w:rPr>
                <w:rFonts w:ascii="Calibri" w:eastAsia="Times New Roman" w:hAnsi="Calibri" w:cs="Times New Roman"/>
                <w:b/>
                <w:iCs/>
                <w:color w:val="000000"/>
                <w:lang w:eastAsia="en-GB"/>
              </w:rPr>
              <w:t xml:space="preserve"> </w:t>
            </w:r>
          </w:p>
          <w:p w:rsidR="00D2528E" w:rsidRDefault="00D2528E"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Other ways of facilitating </w:t>
            </w:r>
            <w:r w:rsidR="00E527B8">
              <w:rPr>
                <w:rFonts w:ascii="Calibri" w:eastAsia="Times New Roman" w:hAnsi="Calibri" w:cs="Times New Roman"/>
                <w:iCs/>
                <w:color w:val="000000"/>
                <w:lang w:eastAsia="en-GB"/>
              </w:rPr>
              <w:t xml:space="preserve">community and </w:t>
            </w:r>
            <w:r>
              <w:rPr>
                <w:rFonts w:ascii="Calibri" w:eastAsia="Times New Roman" w:hAnsi="Calibri" w:cs="Times New Roman"/>
                <w:iCs/>
                <w:color w:val="000000"/>
                <w:lang w:eastAsia="en-GB"/>
              </w:rPr>
              <w:t>communication with and between research</w:t>
            </w:r>
            <w:r w:rsidR="00E527B8">
              <w:rPr>
                <w:rFonts w:ascii="Calibri" w:eastAsia="Times New Roman" w:hAnsi="Calibri" w:cs="Times New Roman"/>
                <w:iCs/>
                <w:color w:val="000000"/>
                <w:lang w:eastAsia="en-GB"/>
              </w:rPr>
              <w:t xml:space="preserve"> staff, supported by The University, are</w:t>
            </w:r>
            <w:r>
              <w:rPr>
                <w:rFonts w:ascii="Calibri" w:eastAsia="Times New Roman" w:hAnsi="Calibri" w:cs="Times New Roman"/>
                <w:iCs/>
                <w:color w:val="000000"/>
                <w:lang w:eastAsia="en-GB"/>
              </w:rPr>
              <w:t xml:space="preserve"> the annual Research Staff Conference</w:t>
            </w:r>
            <w:r w:rsidR="007A7F85">
              <w:rPr>
                <w:rFonts w:ascii="Calibri" w:eastAsia="Times New Roman" w:hAnsi="Calibri" w:cs="Times New Roman"/>
                <w:iCs/>
                <w:color w:val="000000"/>
                <w:lang w:eastAsia="en-GB"/>
              </w:rPr>
              <w:t xml:space="preserve">, an annual flagship </w:t>
            </w:r>
            <w:r w:rsidR="00452122">
              <w:rPr>
                <w:rFonts w:ascii="Calibri" w:eastAsia="Times New Roman" w:hAnsi="Calibri" w:cs="Times New Roman"/>
                <w:iCs/>
                <w:color w:val="000000"/>
                <w:lang w:eastAsia="en-GB"/>
              </w:rPr>
              <w:t>careers event (</w:t>
            </w:r>
            <w:hyperlink r:id="rId11" w:history="1">
              <w:r w:rsidR="00452122" w:rsidRPr="00E527B8">
                <w:rPr>
                  <w:rStyle w:val="Hyperlink"/>
                  <w:rFonts w:ascii="Calibri" w:eastAsia="Times New Roman" w:hAnsi="Calibri" w:cs="Times New Roman"/>
                  <w:i/>
                  <w:iCs/>
                  <w:lang w:eastAsia="en-GB"/>
                </w:rPr>
                <w:t>Pathways</w:t>
              </w:r>
            </w:hyperlink>
            <w:r w:rsidR="00452122">
              <w:rPr>
                <w:rFonts w:ascii="Calibri" w:eastAsia="Times New Roman" w:hAnsi="Calibri" w:cs="Times New Roman"/>
                <w:iCs/>
                <w:color w:val="000000"/>
                <w:lang w:eastAsia="en-GB"/>
              </w:rPr>
              <w:t>)</w:t>
            </w:r>
            <w:r>
              <w:rPr>
                <w:rFonts w:ascii="Calibri" w:eastAsia="Times New Roman" w:hAnsi="Calibri" w:cs="Times New Roman"/>
                <w:iCs/>
                <w:color w:val="000000"/>
                <w:lang w:eastAsia="en-GB"/>
              </w:rPr>
              <w:t xml:space="preserve"> and The University Newsletter </w:t>
            </w:r>
            <w:r w:rsidR="00E527B8">
              <w:rPr>
                <w:rFonts w:ascii="Calibri" w:eastAsia="Times New Roman" w:hAnsi="Calibri" w:cs="Times New Roman"/>
                <w:iCs/>
                <w:color w:val="000000"/>
                <w:lang w:eastAsia="en-GB"/>
              </w:rPr>
              <w:t>(</w:t>
            </w:r>
            <w:r w:rsidR="00E527B8" w:rsidRPr="00E527B8">
              <w:rPr>
                <w:rFonts w:ascii="Calibri" w:eastAsia="Times New Roman" w:hAnsi="Calibri" w:cs="Times New Roman"/>
                <w:i/>
                <w:iCs/>
                <w:color w:val="000000"/>
                <w:lang w:eastAsia="en-GB"/>
              </w:rPr>
              <w:t>Incite</w:t>
            </w:r>
            <w:r w:rsidR="00E527B8">
              <w:rPr>
                <w:rFonts w:ascii="Calibri" w:eastAsia="Times New Roman" w:hAnsi="Calibri" w:cs="Times New Roman"/>
                <w:iCs/>
                <w:color w:val="000000"/>
                <w:lang w:eastAsia="en-GB"/>
              </w:rPr>
              <w:t xml:space="preserve">) </w:t>
            </w:r>
            <w:r>
              <w:rPr>
                <w:rFonts w:ascii="Calibri" w:eastAsia="Times New Roman" w:hAnsi="Calibri" w:cs="Times New Roman"/>
                <w:iCs/>
                <w:color w:val="000000"/>
                <w:lang w:eastAsia="en-GB"/>
              </w:rPr>
              <w:t xml:space="preserve">run </w:t>
            </w:r>
            <w:r w:rsidR="00452122">
              <w:rPr>
                <w:rFonts w:ascii="Calibri" w:eastAsia="Times New Roman" w:hAnsi="Calibri" w:cs="Times New Roman"/>
                <w:iCs/>
                <w:color w:val="000000"/>
                <w:lang w:eastAsia="en-GB"/>
              </w:rPr>
              <w:t xml:space="preserve">by </w:t>
            </w:r>
            <w:r>
              <w:rPr>
                <w:rFonts w:ascii="Calibri" w:eastAsia="Times New Roman" w:hAnsi="Calibri" w:cs="Times New Roman"/>
                <w:iCs/>
                <w:color w:val="000000"/>
                <w:lang w:eastAsia="en-GB"/>
              </w:rPr>
              <w:t xml:space="preserve">and </w:t>
            </w:r>
            <w:r w:rsidR="00452122">
              <w:rPr>
                <w:rFonts w:ascii="Calibri" w:eastAsia="Times New Roman" w:hAnsi="Calibri" w:cs="Times New Roman"/>
                <w:iCs/>
                <w:color w:val="000000"/>
                <w:lang w:eastAsia="en-GB"/>
              </w:rPr>
              <w:t>for research s</w:t>
            </w:r>
            <w:r>
              <w:rPr>
                <w:rFonts w:ascii="Calibri" w:eastAsia="Times New Roman" w:hAnsi="Calibri" w:cs="Times New Roman"/>
                <w:iCs/>
                <w:color w:val="000000"/>
                <w:lang w:eastAsia="en-GB"/>
              </w:rPr>
              <w:t>taff</w:t>
            </w:r>
            <w:r w:rsidR="00452122">
              <w:rPr>
                <w:rFonts w:ascii="Calibri" w:eastAsia="Times New Roman" w:hAnsi="Calibri" w:cs="Times New Roman"/>
                <w:iCs/>
                <w:color w:val="000000"/>
                <w:lang w:eastAsia="en-GB"/>
              </w:rPr>
              <w:t>.</w:t>
            </w:r>
          </w:p>
          <w:p w:rsidR="00E527B8" w:rsidRDefault="00E56290" w:rsidP="0079799D">
            <w:pPr>
              <w:rPr>
                <w:rFonts w:ascii="Calibri" w:eastAsia="Times New Roman" w:hAnsi="Calibri" w:cs="Times New Roman"/>
                <w:b/>
                <w:iCs/>
                <w:color w:val="FF0000"/>
                <w:lang w:eastAsia="en-GB"/>
              </w:rPr>
            </w:pPr>
            <w:r>
              <w:rPr>
                <w:rFonts w:ascii="Calibri" w:eastAsia="Times New Roman" w:hAnsi="Calibri" w:cs="Times New Roman"/>
                <w:iCs/>
                <w:color w:val="000000"/>
                <w:lang w:eastAsia="en-GB"/>
              </w:rPr>
              <w:t xml:space="preserve">2.5 </w:t>
            </w:r>
            <w:r w:rsidR="00E527B8">
              <w:rPr>
                <w:rFonts w:ascii="Calibri" w:eastAsia="Times New Roman" w:hAnsi="Calibri" w:cs="Times New Roman"/>
                <w:iCs/>
                <w:color w:val="000000"/>
                <w:lang w:eastAsia="en-GB"/>
              </w:rPr>
              <w:t>In</w:t>
            </w:r>
            <w:r w:rsidR="00E925F1">
              <w:rPr>
                <w:rFonts w:ascii="Calibri" w:eastAsia="Times New Roman" w:hAnsi="Calibri" w:cs="Times New Roman"/>
                <w:iCs/>
                <w:color w:val="000000"/>
                <w:lang w:eastAsia="en-GB"/>
              </w:rPr>
              <w:t xml:space="preserve"> 2013, following publication of its 2013 – 15 Concordat Implementation Plan</w:t>
            </w:r>
            <w:r w:rsidR="00E527B8">
              <w:rPr>
                <w:rFonts w:ascii="Calibri" w:eastAsia="Times New Roman" w:hAnsi="Calibri" w:cs="Times New Roman"/>
                <w:iCs/>
                <w:color w:val="000000"/>
                <w:lang w:eastAsia="en-GB"/>
              </w:rPr>
              <w:t xml:space="preserve">, The University conducted a survey </w:t>
            </w:r>
            <w:r w:rsidR="006E7C4F">
              <w:rPr>
                <w:rFonts w:ascii="Calibri" w:eastAsia="Times New Roman" w:hAnsi="Calibri" w:cs="Times New Roman"/>
                <w:iCs/>
                <w:color w:val="000000"/>
                <w:lang w:eastAsia="en-GB"/>
              </w:rPr>
              <w:t xml:space="preserve">of its </w:t>
            </w:r>
            <w:r w:rsidR="00E527B8">
              <w:rPr>
                <w:rFonts w:ascii="Calibri" w:eastAsia="Times New Roman" w:hAnsi="Calibri" w:cs="Times New Roman"/>
                <w:iCs/>
                <w:color w:val="000000"/>
                <w:lang w:eastAsia="en-GB"/>
              </w:rPr>
              <w:t xml:space="preserve">academics (that included PIs) </w:t>
            </w:r>
            <w:r w:rsidR="00E925F1">
              <w:rPr>
                <w:rFonts w:ascii="Calibri" w:eastAsia="Times New Roman" w:hAnsi="Calibri" w:cs="Times New Roman"/>
                <w:iCs/>
                <w:color w:val="000000"/>
                <w:lang w:eastAsia="en-GB"/>
              </w:rPr>
              <w:t>of</w:t>
            </w:r>
            <w:r w:rsidR="00E527B8">
              <w:rPr>
                <w:rFonts w:ascii="Calibri" w:eastAsia="Times New Roman" w:hAnsi="Calibri" w:cs="Times New Roman"/>
                <w:iCs/>
                <w:color w:val="000000"/>
                <w:lang w:eastAsia="en-GB"/>
              </w:rPr>
              <w:t xml:space="preserve"> training and development </w:t>
            </w:r>
            <w:r w:rsidR="00E925F1">
              <w:rPr>
                <w:rFonts w:ascii="Calibri" w:eastAsia="Times New Roman" w:hAnsi="Calibri" w:cs="Times New Roman"/>
                <w:iCs/>
                <w:color w:val="000000"/>
                <w:lang w:eastAsia="en-GB"/>
              </w:rPr>
              <w:t xml:space="preserve">needs. Using survey data, a series of lunchtime </w:t>
            </w:r>
            <w:r w:rsidR="008B20E4">
              <w:rPr>
                <w:rFonts w:ascii="Calibri" w:eastAsia="Times New Roman" w:hAnsi="Calibri" w:cs="Times New Roman"/>
                <w:iCs/>
                <w:color w:val="000000"/>
                <w:lang w:eastAsia="en-GB"/>
              </w:rPr>
              <w:t>Masterclasses</w:t>
            </w:r>
            <w:r w:rsidR="00E925F1">
              <w:rPr>
                <w:rFonts w:ascii="Calibri" w:eastAsia="Times New Roman" w:hAnsi="Calibri" w:cs="Times New Roman"/>
                <w:iCs/>
                <w:color w:val="000000"/>
                <w:lang w:eastAsia="en-GB"/>
              </w:rPr>
              <w:t xml:space="preserve"> were developed by a newly appointed Director of </w:t>
            </w:r>
            <w:r w:rsidR="006E7C4F">
              <w:rPr>
                <w:rFonts w:ascii="Calibri" w:eastAsia="Times New Roman" w:hAnsi="Calibri" w:cs="Times New Roman"/>
                <w:iCs/>
                <w:color w:val="000000"/>
                <w:lang w:eastAsia="en-GB"/>
              </w:rPr>
              <w:t xml:space="preserve">Academic </w:t>
            </w:r>
            <w:r w:rsidR="00E925F1">
              <w:rPr>
                <w:rFonts w:ascii="Calibri" w:eastAsia="Times New Roman" w:hAnsi="Calibri" w:cs="Times New Roman"/>
                <w:iCs/>
                <w:color w:val="000000"/>
                <w:lang w:eastAsia="en-GB"/>
              </w:rPr>
              <w:t>Staff Training aimed particularly</w:t>
            </w:r>
            <w:r w:rsidR="000F3F22">
              <w:rPr>
                <w:rFonts w:ascii="Calibri" w:eastAsia="Times New Roman" w:hAnsi="Calibri" w:cs="Times New Roman"/>
                <w:iCs/>
                <w:color w:val="000000"/>
                <w:lang w:eastAsia="en-GB"/>
              </w:rPr>
              <w:t xml:space="preserve"> at more experienced academics. The </w:t>
            </w:r>
            <w:r w:rsidR="008B20E4">
              <w:rPr>
                <w:rFonts w:ascii="Calibri" w:eastAsia="Times New Roman" w:hAnsi="Calibri" w:cs="Times New Roman"/>
                <w:iCs/>
                <w:color w:val="000000"/>
                <w:lang w:eastAsia="en-GB"/>
              </w:rPr>
              <w:t>Masterclasses</w:t>
            </w:r>
            <w:r w:rsidR="006E7C4F">
              <w:rPr>
                <w:rFonts w:ascii="Calibri" w:eastAsia="Times New Roman" w:hAnsi="Calibri" w:cs="Times New Roman"/>
                <w:iCs/>
                <w:color w:val="000000"/>
                <w:lang w:eastAsia="en-GB"/>
              </w:rPr>
              <w:t xml:space="preserve"> include</w:t>
            </w:r>
            <w:r w:rsidR="000F3F22">
              <w:rPr>
                <w:rFonts w:ascii="Calibri" w:eastAsia="Times New Roman" w:hAnsi="Calibri" w:cs="Times New Roman"/>
                <w:iCs/>
                <w:color w:val="000000"/>
                <w:lang w:eastAsia="en-GB"/>
              </w:rPr>
              <w:t xml:space="preserve"> sessions on Researcher Development  (</w:t>
            </w:r>
            <w:r w:rsidR="006E7C4F">
              <w:rPr>
                <w:rFonts w:ascii="Calibri" w:eastAsia="Times New Roman" w:hAnsi="Calibri" w:cs="Times New Roman"/>
                <w:iCs/>
                <w:color w:val="000000"/>
                <w:lang w:eastAsia="en-GB"/>
              </w:rPr>
              <w:t xml:space="preserve">explaining the significance of </w:t>
            </w:r>
            <w:r w:rsidR="000F3F22">
              <w:rPr>
                <w:rFonts w:ascii="Calibri" w:eastAsia="Times New Roman" w:hAnsi="Calibri" w:cs="Times New Roman"/>
                <w:iCs/>
                <w:color w:val="000000"/>
                <w:lang w:eastAsia="en-GB"/>
              </w:rPr>
              <w:t>The Concordat</w:t>
            </w:r>
            <w:r w:rsidR="006E7C4F">
              <w:rPr>
                <w:rFonts w:ascii="Calibri" w:eastAsia="Times New Roman" w:hAnsi="Calibri" w:cs="Times New Roman"/>
                <w:iCs/>
                <w:color w:val="000000"/>
                <w:lang w:eastAsia="en-GB"/>
              </w:rPr>
              <w:t xml:space="preserve"> to Support the Career Development of Researchers, The University’s  the HR Excellence in R</w:t>
            </w:r>
            <w:r w:rsidR="000F3F22">
              <w:rPr>
                <w:rFonts w:ascii="Calibri" w:eastAsia="Times New Roman" w:hAnsi="Calibri" w:cs="Times New Roman"/>
                <w:iCs/>
                <w:color w:val="000000"/>
                <w:lang w:eastAsia="en-GB"/>
              </w:rPr>
              <w:t>esearch award</w:t>
            </w:r>
            <w:r w:rsidR="006E7C4F">
              <w:rPr>
                <w:rFonts w:ascii="Calibri" w:eastAsia="Times New Roman" w:hAnsi="Calibri" w:cs="Times New Roman"/>
                <w:iCs/>
                <w:color w:val="000000"/>
                <w:lang w:eastAsia="en-GB"/>
              </w:rPr>
              <w:t xml:space="preserve"> and the accompanying Concordat Implementation Plan</w:t>
            </w:r>
            <w:r w:rsidR="000F3F22">
              <w:rPr>
                <w:rFonts w:ascii="Calibri" w:eastAsia="Times New Roman" w:hAnsi="Calibri" w:cs="Times New Roman"/>
                <w:iCs/>
                <w:color w:val="000000"/>
                <w:lang w:eastAsia="en-GB"/>
              </w:rPr>
              <w:t>)</w:t>
            </w:r>
            <w:r w:rsidR="00920053">
              <w:rPr>
                <w:rFonts w:ascii="Calibri" w:eastAsia="Times New Roman" w:hAnsi="Calibri" w:cs="Times New Roman"/>
                <w:iCs/>
                <w:color w:val="000000"/>
                <w:lang w:eastAsia="en-GB"/>
              </w:rPr>
              <w:t xml:space="preserve"> to raise awareness of their formal </w:t>
            </w:r>
            <w:r w:rsidR="00F47CF8">
              <w:rPr>
                <w:rFonts w:ascii="Calibri" w:eastAsia="Times New Roman" w:hAnsi="Calibri" w:cs="Times New Roman"/>
                <w:iCs/>
                <w:color w:val="000000"/>
                <w:lang w:eastAsia="en-GB"/>
              </w:rPr>
              <w:t>responsibilities</w:t>
            </w:r>
            <w:r w:rsidR="00920053">
              <w:rPr>
                <w:rFonts w:ascii="Calibri" w:eastAsia="Times New Roman" w:hAnsi="Calibri" w:cs="Times New Roman"/>
                <w:iCs/>
                <w:color w:val="000000"/>
                <w:lang w:eastAsia="en-GB"/>
              </w:rPr>
              <w:t xml:space="preserve"> to </w:t>
            </w:r>
            <w:r w:rsidR="00F47CF8">
              <w:rPr>
                <w:rFonts w:ascii="Calibri" w:eastAsia="Times New Roman" w:hAnsi="Calibri" w:cs="Times New Roman"/>
                <w:iCs/>
                <w:color w:val="000000"/>
                <w:lang w:eastAsia="en-GB"/>
              </w:rPr>
              <w:t>research</w:t>
            </w:r>
            <w:r w:rsidR="00920053">
              <w:rPr>
                <w:rFonts w:ascii="Calibri" w:eastAsia="Times New Roman" w:hAnsi="Calibri" w:cs="Times New Roman"/>
                <w:iCs/>
                <w:color w:val="000000"/>
                <w:lang w:eastAsia="en-GB"/>
              </w:rPr>
              <w:t xml:space="preserve"> staff</w:t>
            </w:r>
            <w:r w:rsidR="00F47CF8">
              <w:rPr>
                <w:rFonts w:ascii="Calibri" w:eastAsia="Times New Roman" w:hAnsi="Calibri" w:cs="Times New Roman"/>
                <w:iCs/>
                <w:color w:val="000000"/>
                <w:lang w:eastAsia="en-GB"/>
              </w:rPr>
              <w:t xml:space="preserve"> and training opportunities available to research staff both internally and nationally (e.g. via </w:t>
            </w:r>
            <w:r w:rsidR="00F47CF8" w:rsidRPr="006E7C4F">
              <w:rPr>
                <w:rFonts w:ascii="Calibri" w:eastAsia="Times New Roman" w:hAnsi="Calibri" w:cs="Times New Roman"/>
                <w:i/>
                <w:iCs/>
                <w:color w:val="000000"/>
                <w:lang w:eastAsia="en-GB"/>
              </w:rPr>
              <w:t>Vitae</w:t>
            </w:r>
            <w:r w:rsidR="00F47CF8">
              <w:rPr>
                <w:rFonts w:ascii="Calibri" w:eastAsia="Times New Roman" w:hAnsi="Calibri" w:cs="Times New Roman"/>
                <w:iCs/>
                <w:color w:val="000000"/>
                <w:lang w:eastAsia="en-GB"/>
              </w:rPr>
              <w:t xml:space="preserve">). </w:t>
            </w:r>
            <w:r w:rsidR="00942E9F" w:rsidRPr="00942E9F">
              <w:rPr>
                <w:rFonts w:ascii="Calibri" w:eastAsia="Times New Roman" w:hAnsi="Calibri" w:cs="Times New Roman"/>
                <w:b/>
                <w:iCs/>
                <w:color w:val="FF0000"/>
                <w:lang w:eastAsia="en-GB"/>
              </w:rPr>
              <w:t xml:space="preserve">Metrics showing attendance </w:t>
            </w:r>
            <w:proofErr w:type="spellStart"/>
            <w:r w:rsidR="00942E9F" w:rsidRPr="00942E9F">
              <w:rPr>
                <w:rFonts w:ascii="Calibri" w:eastAsia="Times New Roman" w:hAnsi="Calibri" w:cs="Times New Roman"/>
                <w:b/>
                <w:iCs/>
                <w:color w:val="FF0000"/>
                <w:lang w:eastAsia="en-GB"/>
              </w:rPr>
              <w:t>etc</w:t>
            </w:r>
            <w:proofErr w:type="spellEnd"/>
            <w:r w:rsidR="00942E9F" w:rsidRPr="00942E9F">
              <w:rPr>
                <w:rFonts w:ascii="Calibri" w:eastAsia="Times New Roman" w:hAnsi="Calibri" w:cs="Times New Roman"/>
                <w:b/>
                <w:iCs/>
                <w:color w:val="FF0000"/>
                <w:lang w:eastAsia="en-GB"/>
              </w:rPr>
              <w:t xml:space="preserve"> to follow. </w:t>
            </w:r>
          </w:p>
          <w:p w:rsidR="00942E9F" w:rsidRPr="00942E9F" w:rsidRDefault="00942E9F" w:rsidP="0079799D">
            <w:pPr>
              <w:rPr>
                <w:rFonts w:ascii="Calibri" w:eastAsia="Times New Roman" w:hAnsi="Calibri" w:cs="Times New Roman"/>
                <w:b/>
                <w:iCs/>
                <w:color w:val="FF0000"/>
                <w:lang w:eastAsia="en-GB"/>
              </w:rPr>
            </w:pPr>
          </w:p>
          <w:p w:rsidR="006E7C4F" w:rsidRDefault="00E56290"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2.6 </w:t>
            </w:r>
            <w:r w:rsidR="00F47CF8">
              <w:rPr>
                <w:rFonts w:ascii="Calibri" w:eastAsia="Times New Roman" w:hAnsi="Calibri" w:cs="Times New Roman"/>
                <w:iCs/>
                <w:color w:val="000000"/>
                <w:lang w:eastAsia="en-GB"/>
              </w:rPr>
              <w:t xml:space="preserve">At an institutional level, formal documents illustrating best practice for PIs in their roles as managers of research staff have </w:t>
            </w:r>
            <w:r w:rsidR="00AB1ABB">
              <w:rPr>
                <w:rFonts w:ascii="Calibri" w:eastAsia="Times New Roman" w:hAnsi="Calibri" w:cs="Times New Roman"/>
                <w:iCs/>
                <w:color w:val="000000"/>
                <w:lang w:eastAsia="en-GB"/>
              </w:rPr>
              <w:t xml:space="preserve">not </w:t>
            </w:r>
            <w:r w:rsidR="00F47CF8">
              <w:rPr>
                <w:rFonts w:ascii="Calibri" w:eastAsia="Times New Roman" w:hAnsi="Calibri" w:cs="Times New Roman"/>
                <w:iCs/>
                <w:color w:val="000000"/>
                <w:lang w:eastAsia="en-GB"/>
              </w:rPr>
              <w:t xml:space="preserve">been developed. </w:t>
            </w:r>
            <w:r w:rsidR="006E7C4F">
              <w:rPr>
                <w:rFonts w:ascii="Calibri" w:eastAsia="Times New Roman" w:hAnsi="Calibri" w:cs="Times New Roman"/>
                <w:iCs/>
                <w:color w:val="000000"/>
                <w:lang w:eastAsia="en-GB"/>
              </w:rPr>
              <w:t xml:space="preserve">This will be addressed in the 2015/19 Action Plan. </w:t>
            </w:r>
            <w:r w:rsidR="00F47CF8">
              <w:rPr>
                <w:rFonts w:ascii="Calibri" w:eastAsia="Times New Roman" w:hAnsi="Calibri" w:cs="Times New Roman"/>
                <w:iCs/>
                <w:color w:val="000000"/>
                <w:lang w:eastAsia="en-GB"/>
              </w:rPr>
              <w:t>However, other routes have been taken to circulate this information – the aforementioned Masterclasses and Faculty New Academic Programmes (NAPs</w:t>
            </w:r>
            <w:r w:rsidR="006E7C4F">
              <w:rPr>
                <w:rFonts w:ascii="Calibri" w:eastAsia="Times New Roman" w:hAnsi="Calibri" w:cs="Times New Roman"/>
                <w:iCs/>
                <w:color w:val="000000"/>
                <w:lang w:eastAsia="en-GB"/>
              </w:rPr>
              <w:t xml:space="preserve"> - </w:t>
            </w:r>
            <w:r w:rsidR="00F47CF8">
              <w:rPr>
                <w:rFonts w:ascii="Calibri" w:eastAsia="Times New Roman" w:hAnsi="Calibri" w:cs="Times New Roman"/>
                <w:iCs/>
                <w:color w:val="000000"/>
                <w:lang w:eastAsia="en-GB"/>
              </w:rPr>
              <w:t xml:space="preserve">completion of </w:t>
            </w:r>
            <w:r w:rsidR="006E7C4F">
              <w:rPr>
                <w:rFonts w:ascii="Calibri" w:eastAsia="Times New Roman" w:hAnsi="Calibri" w:cs="Times New Roman"/>
                <w:iCs/>
                <w:color w:val="000000"/>
                <w:lang w:eastAsia="en-GB"/>
              </w:rPr>
              <w:t xml:space="preserve">this is </w:t>
            </w:r>
            <w:r w:rsidR="00F47CF8">
              <w:rPr>
                <w:rFonts w:ascii="Calibri" w:eastAsia="Times New Roman" w:hAnsi="Calibri" w:cs="Times New Roman"/>
                <w:iCs/>
                <w:color w:val="000000"/>
                <w:lang w:eastAsia="en-GB"/>
              </w:rPr>
              <w:t>mandatory for passing the probationary period for all new academics</w:t>
            </w:r>
            <w:r w:rsidR="006E7C4F">
              <w:rPr>
                <w:rFonts w:ascii="Calibri" w:eastAsia="Times New Roman" w:hAnsi="Calibri" w:cs="Times New Roman"/>
                <w:iCs/>
                <w:color w:val="000000"/>
                <w:lang w:eastAsia="en-GB"/>
              </w:rPr>
              <w:t>)</w:t>
            </w:r>
            <w:r w:rsidR="00F47CF8">
              <w:rPr>
                <w:rFonts w:ascii="Calibri" w:eastAsia="Times New Roman" w:hAnsi="Calibri" w:cs="Times New Roman"/>
                <w:iCs/>
                <w:color w:val="000000"/>
                <w:lang w:eastAsia="en-GB"/>
              </w:rPr>
              <w:t xml:space="preserve">. </w:t>
            </w:r>
          </w:p>
          <w:p w:rsidR="00815F05" w:rsidRDefault="006E7C4F"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Based on the success of an online PDR system developed for – and piloted amongst – research staff, </w:t>
            </w:r>
            <w:r w:rsidR="00AB1ABB">
              <w:rPr>
                <w:rFonts w:ascii="Calibri" w:eastAsia="Times New Roman" w:hAnsi="Calibri" w:cs="Times New Roman"/>
                <w:iCs/>
                <w:color w:val="000000"/>
                <w:lang w:eastAsia="en-GB"/>
              </w:rPr>
              <w:t xml:space="preserve">The University is </w:t>
            </w:r>
            <w:r>
              <w:rPr>
                <w:rFonts w:ascii="Calibri" w:eastAsia="Times New Roman" w:hAnsi="Calibri" w:cs="Times New Roman"/>
                <w:iCs/>
                <w:color w:val="000000"/>
                <w:lang w:eastAsia="en-GB"/>
              </w:rPr>
              <w:t xml:space="preserve">currently </w:t>
            </w:r>
            <w:r w:rsidR="00AB1ABB">
              <w:rPr>
                <w:rFonts w:ascii="Calibri" w:eastAsia="Times New Roman" w:hAnsi="Calibri" w:cs="Times New Roman"/>
                <w:iCs/>
                <w:color w:val="000000"/>
                <w:lang w:eastAsia="en-GB"/>
              </w:rPr>
              <w:t xml:space="preserve">developing </w:t>
            </w:r>
            <w:r w:rsidR="00EC5494">
              <w:rPr>
                <w:rFonts w:ascii="Calibri" w:eastAsia="Times New Roman" w:hAnsi="Calibri" w:cs="Times New Roman"/>
                <w:iCs/>
                <w:color w:val="000000"/>
                <w:lang w:eastAsia="en-GB"/>
              </w:rPr>
              <w:t xml:space="preserve">this </w:t>
            </w:r>
            <w:r w:rsidR="00AB1ABB">
              <w:rPr>
                <w:rFonts w:ascii="Calibri" w:eastAsia="Times New Roman" w:hAnsi="Calibri" w:cs="Times New Roman"/>
                <w:iCs/>
                <w:color w:val="000000"/>
                <w:lang w:eastAsia="en-GB"/>
              </w:rPr>
              <w:t>online system for the completion and monitoring of PDRs for all staff</w:t>
            </w:r>
            <w:r w:rsidR="00EC5494">
              <w:rPr>
                <w:rFonts w:ascii="Calibri" w:eastAsia="Times New Roman" w:hAnsi="Calibri" w:cs="Times New Roman"/>
                <w:iCs/>
                <w:color w:val="000000"/>
                <w:lang w:eastAsia="en-GB"/>
              </w:rPr>
              <w:t xml:space="preserve">. Reviewers (i.e. PIs/line managers) </w:t>
            </w:r>
            <w:r w:rsidR="00AB1ABB">
              <w:rPr>
                <w:rFonts w:ascii="Calibri" w:eastAsia="Times New Roman" w:hAnsi="Calibri" w:cs="Times New Roman"/>
                <w:iCs/>
                <w:color w:val="000000"/>
                <w:lang w:eastAsia="en-GB"/>
              </w:rPr>
              <w:t xml:space="preserve">will </w:t>
            </w:r>
            <w:r w:rsidR="00EC5494">
              <w:rPr>
                <w:rFonts w:ascii="Calibri" w:eastAsia="Times New Roman" w:hAnsi="Calibri" w:cs="Times New Roman"/>
                <w:iCs/>
                <w:color w:val="000000"/>
                <w:lang w:eastAsia="en-GB"/>
              </w:rPr>
              <w:t xml:space="preserve">need to complete </w:t>
            </w:r>
            <w:r w:rsidR="00AB1ABB">
              <w:rPr>
                <w:rFonts w:ascii="Calibri" w:eastAsia="Times New Roman" w:hAnsi="Calibri" w:cs="Times New Roman"/>
                <w:iCs/>
                <w:color w:val="000000"/>
                <w:lang w:eastAsia="en-GB"/>
              </w:rPr>
              <w:t xml:space="preserve">mandatory </w:t>
            </w:r>
            <w:r w:rsidR="00EC5494">
              <w:rPr>
                <w:rFonts w:ascii="Calibri" w:eastAsia="Times New Roman" w:hAnsi="Calibri" w:cs="Times New Roman"/>
                <w:iCs/>
                <w:color w:val="000000"/>
                <w:lang w:eastAsia="en-GB"/>
              </w:rPr>
              <w:t>training b</w:t>
            </w:r>
            <w:r w:rsidR="00AB1ABB">
              <w:rPr>
                <w:rFonts w:ascii="Calibri" w:eastAsia="Times New Roman" w:hAnsi="Calibri" w:cs="Times New Roman"/>
                <w:iCs/>
                <w:color w:val="000000"/>
                <w:lang w:eastAsia="en-GB"/>
              </w:rPr>
              <w:t xml:space="preserve">efore conducting </w:t>
            </w:r>
            <w:r w:rsidR="00C644D5">
              <w:rPr>
                <w:rFonts w:ascii="Calibri" w:eastAsia="Times New Roman" w:hAnsi="Calibri" w:cs="Times New Roman"/>
                <w:iCs/>
                <w:color w:val="000000"/>
                <w:lang w:eastAsia="en-GB"/>
              </w:rPr>
              <w:t>PDRs</w:t>
            </w:r>
            <w:r w:rsidR="00EC5494">
              <w:rPr>
                <w:rFonts w:ascii="Calibri" w:eastAsia="Times New Roman" w:hAnsi="Calibri" w:cs="Times New Roman"/>
                <w:iCs/>
                <w:color w:val="000000"/>
                <w:lang w:eastAsia="en-GB"/>
              </w:rPr>
              <w:t>.</w:t>
            </w:r>
            <w:r w:rsidR="00C644D5">
              <w:rPr>
                <w:rFonts w:ascii="Calibri" w:eastAsia="Times New Roman" w:hAnsi="Calibri" w:cs="Times New Roman"/>
                <w:iCs/>
                <w:color w:val="000000"/>
                <w:lang w:eastAsia="en-GB"/>
              </w:rPr>
              <w:t xml:space="preserve"> The </w:t>
            </w:r>
            <w:r w:rsidR="00EC5494">
              <w:rPr>
                <w:rFonts w:ascii="Calibri" w:eastAsia="Times New Roman" w:hAnsi="Calibri" w:cs="Times New Roman"/>
                <w:iCs/>
                <w:color w:val="000000"/>
                <w:lang w:eastAsia="en-GB"/>
              </w:rPr>
              <w:t xml:space="preserve">content for the </w:t>
            </w:r>
            <w:r w:rsidR="00C644D5">
              <w:rPr>
                <w:rFonts w:ascii="Calibri" w:eastAsia="Times New Roman" w:hAnsi="Calibri" w:cs="Times New Roman"/>
                <w:iCs/>
                <w:color w:val="000000"/>
                <w:lang w:eastAsia="en-GB"/>
              </w:rPr>
              <w:t xml:space="preserve">training course </w:t>
            </w:r>
            <w:r w:rsidR="00EC5494">
              <w:rPr>
                <w:rFonts w:ascii="Calibri" w:eastAsia="Times New Roman" w:hAnsi="Calibri" w:cs="Times New Roman"/>
                <w:iCs/>
                <w:color w:val="000000"/>
                <w:lang w:eastAsia="en-GB"/>
              </w:rPr>
              <w:t>is currently being pulled together but is intended to include module</w:t>
            </w:r>
            <w:r w:rsidR="00E56290">
              <w:rPr>
                <w:rFonts w:ascii="Calibri" w:eastAsia="Times New Roman" w:hAnsi="Calibri" w:cs="Times New Roman"/>
                <w:iCs/>
                <w:color w:val="000000"/>
                <w:lang w:eastAsia="en-GB"/>
              </w:rPr>
              <w:t xml:space="preserve">s that will </w:t>
            </w:r>
            <w:r w:rsidR="00EC5494">
              <w:rPr>
                <w:rFonts w:ascii="Calibri" w:eastAsia="Times New Roman" w:hAnsi="Calibri" w:cs="Times New Roman"/>
                <w:iCs/>
                <w:color w:val="000000"/>
                <w:lang w:eastAsia="en-GB"/>
              </w:rPr>
              <w:t xml:space="preserve">raise </w:t>
            </w:r>
            <w:r w:rsidR="00C644D5">
              <w:rPr>
                <w:rFonts w:ascii="Calibri" w:eastAsia="Times New Roman" w:hAnsi="Calibri" w:cs="Times New Roman"/>
                <w:iCs/>
                <w:color w:val="000000"/>
                <w:lang w:eastAsia="en-GB"/>
              </w:rPr>
              <w:t xml:space="preserve">awareness of researcher </w:t>
            </w:r>
            <w:r w:rsidR="00E56290">
              <w:rPr>
                <w:rFonts w:ascii="Calibri" w:eastAsia="Times New Roman" w:hAnsi="Calibri" w:cs="Times New Roman"/>
                <w:iCs/>
                <w:color w:val="000000"/>
                <w:lang w:eastAsia="en-GB"/>
              </w:rPr>
              <w:t xml:space="preserve">development - and associated University expectations - amongst </w:t>
            </w:r>
            <w:r w:rsidR="00C644D5">
              <w:rPr>
                <w:rFonts w:ascii="Calibri" w:eastAsia="Times New Roman" w:hAnsi="Calibri" w:cs="Times New Roman"/>
                <w:iCs/>
                <w:color w:val="000000"/>
                <w:lang w:eastAsia="en-GB"/>
              </w:rPr>
              <w:t>reviewers</w:t>
            </w:r>
            <w:r w:rsidR="00E56290">
              <w:rPr>
                <w:rFonts w:ascii="Calibri" w:eastAsia="Times New Roman" w:hAnsi="Calibri" w:cs="Times New Roman"/>
                <w:iCs/>
                <w:color w:val="000000"/>
                <w:lang w:eastAsia="en-GB"/>
              </w:rPr>
              <w:t xml:space="preserve">, including awareness of University policy regarding contracts, promotion etc. </w:t>
            </w:r>
          </w:p>
          <w:p w:rsidR="00C644D5" w:rsidRDefault="00C644D5" w:rsidP="00C644D5">
            <w:pPr>
              <w:rPr>
                <w:rFonts w:ascii="Calibri" w:eastAsia="Times New Roman" w:hAnsi="Calibri" w:cs="Times New Roman"/>
                <w:b/>
                <w:iCs/>
                <w:color w:val="000000"/>
                <w:lang w:eastAsia="en-GB"/>
              </w:rPr>
            </w:pPr>
            <w:r w:rsidRPr="00920053">
              <w:rPr>
                <w:rFonts w:ascii="Calibri" w:eastAsia="Times New Roman" w:hAnsi="Calibri" w:cs="Times New Roman"/>
                <w:b/>
                <w:iCs/>
                <w:color w:val="000000"/>
                <w:u w:val="single"/>
                <w:lang w:eastAsia="en-GB"/>
              </w:rPr>
              <w:t>CROS supporting evidence</w:t>
            </w:r>
            <w:r w:rsidRPr="00920053">
              <w:rPr>
                <w:rFonts w:ascii="Calibri" w:eastAsia="Times New Roman" w:hAnsi="Calibri" w:cs="Times New Roman"/>
                <w:b/>
                <w:iCs/>
                <w:color w:val="000000"/>
                <w:lang w:eastAsia="en-GB"/>
              </w:rPr>
              <w:t xml:space="preserve">: </w:t>
            </w:r>
            <w:r>
              <w:rPr>
                <w:rFonts w:ascii="Calibri" w:eastAsia="Times New Roman" w:hAnsi="Calibri" w:cs="Times New Roman"/>
                <w:b/>
                <w:iCs/>
                <w:color w:val="000000"/>
                <w:lang w:eastAsia="en-GB"/>
              </w:rPr>
              <w:t xml:space="preserve"> </w:t>
            </w:r>
            <w:r w:rsidRPr="00920053">
              <w:rPr>
                <w:rFonts w:ascii="Calibri" w:eastAsia="Times New Roman" w:hAnsi="Calibri" w:cs="Times New Roman"/>
                <w:b/>
                <w:iCs/>
                <w:color w:val="000000"/>
                <w:lang w:eastAsia="en-GB"/>
              </w:rPr>
              <w:t xml:space="preserve">From 2013 – 2015, there was a 13% increase in the number of respondents saying they had participated in a staff appraisal </w:t>
            </w:r>
            <w:r>
              <w:rPr>
                <w:rFonts w:ascii="Calibri" w:eastAsia="Times New Roman" w:hAnsi="Calibri" w:cs="Times New Roman"/>
                <w:b/>
                <w:iCs/>
                <w:color w:val="000000"/>
                <w:lang w:eastAsia="en-GB"/>
              </w:rPr>
              <w:t>in</w:t>
            </w:r>
            <w:r w:rsidRPr="00920053">
              <w:rPr>
                <w:rFonts w:ascii="Calibri" w:eastAsia="Times New Roman" w:hAnsi="Calibri" w:cs="Times New Roman"/>
                <w:b/>
                <w:iCs/>
                <w:color w:val="000000"/>
                <w:lang w:eastAsia="en-GB"/>
              </w:rPr>
              <w:t xml:space="preserve"> the past 12 months, with an 18% increase say</w:t>
            </w:r>
            <w:r>
              <w:rPr>
                <w:rFonts w:ascii="Calibri" w:eastAsia="Times New Roman" w:hAnsi="Calibri" w:cs="Times New Roman"/>
                <w:b/>
                <w:iCs/>
                <w:color w:val="000000"/>
                <w:lang w:eastAsia="en-GB"/>
              </w:rPr>
              <w:t xml:space="preserve">ing their </w:t>
            </w:r>
            <w:r w:rsidRPr="00920053">
              <w:rPr>
                <w:rFonts w:ascii="Calibri" w:eastAsia="Times New Roman" w:hAnsi="Calibri" w:cs="Times New Roman"/>
                <w:b/>
                <w:iCs/>
                <w:color w:val="000000"/>
                <w:lang w:eastAsia="en-GB"/>
              </w:rPr>
              <w:t xml:space="preserve">appraisal led to training/other CPD. These data </w:t>
            </w:r>
            <w:r w:rsidR="00E56290">
              <w:rPr>
                <w:rFonts w:ascii="Calibri" w:eastAsia="Times New Roman" w:hAnsi="Calibri" w:cs="Times New Roman"/>
                <w:b/>
                <w:iCs/>
                <w:color w:val="000000"/>
                <w:lang w:eastAsia="en-GB"/>
              </w:rPr>
              <w:t xml:space="preserve">provide circumstantial evidence for </w:t>
            </w:r>
            <w:r w:rsidRPr="00920053">
              <w:rPr>
                <w:rFonts w:ascii="Calibri" w:eastAsia="Times New Roman" w:hAnsi="Calibri" w:cs="Times New Roman"/>
                <w:b/>
                <w:iCs/>
                <w:color w:val="000000"/>
                <w:lang w:eastAsia="en-GB"/>
              </w:rPr>
              <w:t>reviewers (PIs</w:t>
            </w:r>
            <w:r w:rsidR="00E56290">
              <w:rPr>
                <w:rFonts w:ascii="Calibri" w:eastAsia="Times New Roman" w:hAnsi="Calibri" w:cs="Times New Roman"/>
                <w:b/>
                <w:iCs/>
                <w:color w:val="000000"/>
                <w:lang w:eastAsia="en-GB"/>
              </w:rPr>
              <w:t>/line managers</w:t>
            </w:r>
            <w:r w:rsidRPr="00920053">
              <w:rPr>
                <w:rFonts w:ascii="Calibri" w:eastAsia="Times New Roman" w:hAnsi="Calibri" w:cs="Times New Roman"/>
                <w:b/>
                <w:iCs/>
                <w:color w:val="000000"/>
                <w:lang w:eastAsia="en-GB"/>
              </w:rPr>
              <w:t xml:space="preserve">) </w:t>
            </w:r>
            <w:r w:rsidR="00E56290">
              <w:rPr>
                <w:rFonts w:ascii="Calibri" w:eastAsia="Times New Roman" w:hAnsi="Calibri" w:cs="Times New Roman"/>
                <w:b/>
                <w:iCs/>
                <w:color w:val="000000"/>
                <w:lang w:eastAsia="en-GB"/>
              </w:rPr>
              <w:t xml:space="preserve">being </w:t>
            </w:r>
            <w:r w:rsidRPr="00920053">
              <w:rPr>
                <w:rFonts w:ascii="Calibri" w:eastAsia="Times New Roman" w:hAnsi="Calibri" w:cs="Times New Roman"/>
                <w:b/>
                <w:iCs/>
                <w:color w:val="000000"/>
                <w:lang w:eastAsia="en-GB"/>
              </w:rPr>
              <w:t>more aw</w:t>
            </w:r>
            <w:r>
              <w:rPr>
                <w:rFonts w:ascii="Calibri" w:eastAsia="Times New Roman" w:hAnsi="Calibri" w:cs="Times New Roman"/>
                <w:b/>
                <w:iCs/>
                <w:color w:val="000000"/>
                <w:lang w:eastAsia="en-GB"/>
              </w:rPr>
              <w:t>a</w:t>
            </w:r>
            <w:r w:rsidRPr="00920053">
              <w:rPr>
                <w:rFonts w:ascii="Calibri" w:eastAsia="Times New Roman" w:hAnsi="Calibri" w:cs="Times New Roman"/>
                <w:b/>
                <w:iCs/>
                <w:color w:val="000000"/>
                <w:lang w:eastAsia="en-GB"/>
              </w:rPr>
              <w:t>re of training oppo</w:t>
            </w:r>
            <w:r>
              <w:rPr>
                <w:rFonts w:ascii="Calibri" w:eastAsia="Times New Roman" w:hAnsi="Calibri" w:cs="Times New Roman"/>
                <w:b/>
                <w:iCs/>
                <w:color w:val="000000"/>
                <w:lang w:eastAsia="en-GB"/>
              </w:rPr>
              <w:t>rtunities</w:t>
            </w:r>
            <w:r w:rsidRPr="00920053">
              <w:rPr>
                <w:rFonts w:ascii="Calibri" w:eastAsia="Times New Roman" w:hAnsi="Calibri" w:cs="Times New Roman"/>
                <w:b/>
                <w:iCs/>
                <w:color w:val="000000"/>
                <w:lang w:eastAsia="en-GB"/>
              </w:rPr>
              <w:t xml:space="preserve"> for </w:t>
            </w:r>
            <w:r>
              <w:rPr>
                <w:rFonts w:ascii="Calibri" w:eastAsia="Times New Roman" w:hAnsi="Calibri" w:cs="Times New Roman"/>
                <w:b/>
                <w:iCs/>
                <w:color w:val="000000"/>
                <w:lang w:eastAsia="en-GB"/>
              </w:rPr>
              <w:t>re</w:t>
            </w:r>
            <w:r w:rsidRPr="00920053">
              <w:rPr>
                <w:rFonts w:ascii="Calibri" w:eastAsia="Times New Roman" w:hAnsi="Calibri" w:cs="Times New Roman"/>
                <w:b/>
                <w:iCs/>
                <w:color w:val="000000"/>
                <w:lang w:eastAsia="en-GB"/>
              </w:rPr>
              <w:t xml:space="preserve">search staff, and encouraging staff to participate. </w:t>
            </w:r>
            <w:r>
              <w:rPr>
                <w:rFonts w:ascii="Calibri" w:eastAsia="Times New Roman" w:hAnsi="Calibri" w:cs="Times New Roman"/>
                <w:b/>
                <w:iCs/>
                <w:color w:val="000000"/>
                <w:lang w:eastAsia="en-GB"/>
              </w:rPr>
              <w:t xml:space="preserve">Furthermore, there was an increase in the number of respondents maintaining a formal record of CPD activities (up by 4% from 2013 to 2015). </w:t>
            </w:r>
            <w:r w:rsidR="00E56290">
              <w:rPr>
                <w:rFonts w:ascii="Calibri" w:eastAsia="Times New Roman" w:hAnsi="Calibri" w:cs="Times New Roman"/>
                <w:b/>
                <w:iCs/>
                <w:color w:val="000000"/>
                <w:lang w:eastAsia="en-GB"/>
              </w:rPr>
              <w:t>Nevertheless, d</w:t>
            </w:r>
            <w:r>
              <w:rPr>
                <w:rFonts w:ascii="Calibri" w:eastAsia="Times New Roman" w:hAnsi="Calibri" w:cs="Times New Roman"/>
                <w:b/>
                <w:iCs/>
                <w:color w:val="000000"/>
                <w:lang w:eastAsia="en-GB"/>
              </w:rPr>
              <w:t>espite these encouraging improvements f</w:t>
            </w:r>
            <w:r w:rsidR="00E56290">
              <w:rPr>
                <w:rFonts w:ascii="Calibri" w:eastAsia="Times New Roman" w:hAnsi="Calibri" w:cs="Times New Roman"/>
                <w:b/>
                <w:iCs/>
                <w:color w:val="000000"/>
                <w:lang w:eastAsia="en-GB"/>
              </w:rPr>
              <w:t>rom</w:t>
            </w:r>
            <w:r>
              <w:rPr>
                <w:rFonts w:ascii="Calibri" w:eastAsia="Times New Roman" w:hAnsi="Calibri" w:cs="Times New Roman"/>
                <w:b/>
                <w:iCs/>
                <w:color w:val="000000"/>
                <w:lang w:eastAsia="en-GB"/>
              </w:rPr>
              <w:t xml:space="preserve"> 2013 to 2015, there is still more work to be done to increase the numbers of research staff undertaking an annual appraisal (58% of respondents to 2015 CROS said they had completed an appraisal in the past 12 months). </w:t>
            </w:r>
          </w:p>
          <w:p w:rsidR="001A6516" w:rsidRDefault="00E56290" w:rsidP="00C644D5">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2.7 Work to progress recognition and reward for the </w:t>
            </w:r>
            <w:r w:rsidR="00BE51CB">
              <w:rPr>
                <w:rFonts w:ascii="Calibri" w:eastAsia="Times New Roman" w:hAnsi="Calibri" w:cs="Times New Roman"/>
                <w:iCs/>
                <w:color w:val="000000"/>
                <w:lang w:eastAsia="en-GB"/>
              </w:rPr>
              <w:t>various</w:t>
            </w:r>
            <w:r>
              <w:rPr>
                <w:rFonts w:ascii="Calibri" w:eastAsia="Times New Roman" w:hAnsi="Calibri" w:cs="Times New Roman"/>
                <w:iCs/>
                <w:color w:val="000000"/>
                <w:lang w:eastAsia="en-GB"/>
              </w:rPr>
              <w:t xml:space="preserve"> roles </w:t>
            </w:r>
            <w:r w:rsidR="00BE51CB">
              <w:rPr>
                <w:rFonts w:ascii="Calibri" w:eastAsia="Times New Roman" w:hAnsi="Calibri" w:cs="Times New Roman"/>
                <w:iCs/>
                <w:color w:val="000000"/>
                <w:lang w:eastAsia="en-GB"/>
              </w:rPr>
              <w:t>research</w:t>
            </w:r>
            <w:r>
              <w:rPr>
                <w:rFonts w:ascii="Calibri" w:eastAsia="Times New Roman" w:hAnsi="Calibri" w:cs="Times New Roman"/>
                <w:iCs/>
                <w:color w:val="000000"/>
                <w:lang w:eastAsia="en-GB"/>
              </w:rPr>
              <w:t xml:space="preserve"> staff undertake has not been </w:t>
            </w:r>
            <w:r w:rsidR="00BE51CB">
              <w:rPr>
                <w:rFonts w:ascii="Calibri" w:eastAsia="Times New Roman" w:hAnsi="Calibri" w:cs="Times New Roman"/>
                <w:iCs/>
                <w:color w:val="000000"/>
                <w:lang w:eastAsia="en-GB"/>
              </w:rPr>
              <w:t>completed</w:t>
            </w:r>
            <w:r>
              <w:rPr>
                <w:rFonts w:ascii="Calibri" w:eastAsia="Times New Roman" w:hAnsi="Calibri" w:cs="Times New Roman"/>
                <w:iCs/>
                <w:color w:val="000000"/>
                <w:lang w:eastAsia="en-GB"/>
              </w:rPr>
              <w:t xml:space="preserve"> at the institutional </w:t>
            </w:r>
            <w:r w:rsidR="00BE51CB">
              <w:rPr>
                <w:rFonts w:ascii="Calibri" w:eastAsia="Times New Roman" w:hAnsi="Calibri" w:cs="Times New Roman"/>
                <w:iCs/>
                <w:color w:val="000000"/>
                <w:lang w:eastAsia="en-GB"/>
              </w:rPr>
              <w:t xml:space="preserve">level and require further discussion/action. However, it is expected that discussions about </w:t>
            </w:r>
            <w:r w:rsidR="0084452E">
              <w:rPr>
                <w:rFonts w:ascii="Calibri" w:eastAsia="Times New Roman" w:hAnsi="Calibri" w:cs="Times New Roman"/>
                <w:iCs/>
                <w:color w:val="000000"/>
                <w:lang w:eastAsia="en-GB"/>
              </w:rPr>
              <w:t xml:space="preserve">teaching, public engagement and other </w:t>
            </w:r>
            <w:r w:rsidR="00F94F8E">
              <w:rPr>
                <w:rFonts w:ascii="Calibri" w:eastAsia="Times New Roman" w:hAnsi="Calibri" w:cs="Times New Roman"/>
                <w:iCs/>
                <w:color w:val="000000"/>
                <w:lang w:eastAsia="en-GB"/>
              </w:rPr>
              <w:t>activities</w:t>
            </w:r>
            <w:r w:rsidR="0084452E">
              <w:rPr>
                <w:rFonts w:ascii="Calibri" w:eastAsia="Times New Roman" w:hAnsi="Calibri" w:cs="Times New Roman"/>
                <w:iCs/>
                <w:color w:val="000000"/>
                <w:lang w:eastAsia="en-GB"/>
              </w:rPr>
              <w:t xml:space="preserve"> </w:t>
            </w:r>
            <w:r w:rsidR="00BE51CB">
              <w:rPr>
                <w:rFonts w:ascii="Calibri" w:eastAsia="Times New Roman" w:hAnsi="Calibri" w:cs="Times New Roman"/>
                <w:iCs/>
                <w:color w:val="000000"/>
                <w:lang w:eastAsia="en-GB"/>
              </w:rPr>
              <w:t xml:space="preserve">are included in the formal PDR process. </w:t>
            </w:r>
            <w:r w:rsidR="00F94F8E">
              <w:rPr>
                <w:rFonts w:ascii="Calibri" w:eastAsia="Times New Roman" w:hAnsi="Calibri" w:cs="Times New Roman"/>
                <w:iCs/>
                <w:color w:val="000000"/>
                <w:lang w:eastAsia="en-GB"/>
              </w:rPr>
              <w:t xml:space="preserve"> </w:t>
            </w:r>
          </w:p>
          <w:p w:rsidR="00815F05" w:rsidRPr="00E60FFD" w:rsidRDefault="00F94F8E" w:rsidP="005A2988">
            <w:r w:rsidRPr="00536037">
              <w:rPr>
                <w:rFonts w:ascii="Calibri" w:eastAsia="Times New Roman" w:hAnsi="Calibri" w:cs="Times New Roman"/>
                <w:b/>
                <w:iCs/>
                <w:color w:val="000000"/>
                <w:u w:val="single"/>
                <w:lang w:eastAsia="en-GB"/>
              </w:rPr>
              <w:t>CROS evidence</w:t>
            </w:r>
            <w:r w:rsidRPr="00F94F8E">
              <w:rPr>
                <w:rFonts w:ascii="Calibri" w:eastAsia="Times New Roman" w:hAnsi="Calibri" w:cs="Times New Roman"/>
                <w:b/>
                <w:iCs/>
                <w:color w:val="000000"/>
                <w:lang w:eastAsia="en-GB"/>
              </w:rPr>
              <w:t xml:space="preserve">: </w:t>
            </w:r>
            <w:r>
              <w:rPr>
                <w:rFonts w:ascii="Calibri" w:eastAsia="Times New Roman" w:hAnsi="Calibri" w:cs="Times New Roman"/>
                <w:b/>
                <w:iCs/>
                <w:color w:val="000000"/>
                <w:lang w:eastAsia="en-GB"/>
              </w:rPr>
              <w:t xml:space="preserve"> Fifty-nine percent of respondents to CROS 2015 agreed that research staff are treated fairly regrading reward; this is a 6% drop compared to 2013. </w:t>
            </w:r>
          </w:p>
        </w:tc>
      </w:tr>
      <w:tr w:rsidR="00815F05" w:rsidTr="00255E4B">
        <w:trPr>
          <w:trHeight w:hRule="exact" w:val="90"/>
        </w:trPr>
        <w:tc>
          <w:tcPr>
            <w:tcW w:w="3540" w:type="dxa"/>
            <w:vMerge/>
          </w:tcPr>
          <w:p w:rsidR="00815F05" w:rsidRDefault="00815F05" w:rsidP="0079799D">
            <w:pPr>
              <w:pStyle w:val="ListParagraph"/>
              <w:numPr>
                <w:ilvl w:val="0"/>
                <w:numId w:val="4"/>
              </w:numPr>
            </w:pPr>
          </w:p>
        </w:tc>
        <w:tc>
          <w:tcPr>
            <w:tcW w:w="10410" w:type="dxa"/>
          </w:tcPr>
          <w:p w:rsidR="00815F05" w:rsidRDefault="00815F05" w:rsidP="0079799D"/>
        </w:tc>
      </w:tr>
      <w:tr w:rsidR="00E60FFD" w:rsidTr="00255E4B">
        <w:trPr>
          <w:trHeight w:val="465"/>
        </w:trPr>
        <w:tc>
          <w:tcPr>
            <w:tcW w:w="13950" w:type="dxa"/>
            <w:gridSpan w:val="2"/>
          </w:tcPr>
          <w:p w:rsidR="00E60FFD" w:rsidRPr="00E60FFD" w:rsidRDefault="00255E4B" w:rsidP="00BE51CB">
            <w:pPr>
              <w:pStyle w:val="ListParagraph"/>
              <w:numPr>
                <w:ilvl w:val="0"/>
                <w:numId w:val="2"/>
              </w:numPr>
            </w:pPr>
            <w:r w:rsidRPr="00BE51CB">
              <w:rPr>
                <w:b/>
              </w:rPr>
              <w:t>Support &amp; Career Development (</w:t>
            </w:r>
            <w:r w:rsidR="00FD36A3" w:rsidRPr="00BE51CB">
              <w:rPr>
                <w:b/>
              </w:rPr>
              <w:t>Concordat Principle</w:t>
            </w:r>
            <w:r w:rsidRPr="00BE51CB">
              <w:rPr>
                <w:b/>
              </w:rPr>
              <w:t>s 1,2, 3, 4, 5 &amp; 7)</w:t>
            </w:r>
          </w:p>
        </w:tc>
      </w:tr>
      <w:tr w:rsidR="00E60FFD" w:rsidTr="0079799D">
        <w:trPr>
          <w:trHeight w:val="525"/>
        </w:trPr>
        <w:tc>
          <w:tcPr>
            <w:tcW w:w="3540" w:type="dxa"/>
          </w:tcPr>
          <w:p w:rsidR="00E60FFD" w:rsidRDefault="00E60FFD" w:rsidP="0079799D">
            <w:pPr>
              <w:rPr>
                <w:b/>
              </w:rPr>
            </w:pPr>
            <w:r>
              <w:rPr>
                <w:b/>
              </w:rPr>
              <w:t>Objectives</w:t>
            </w:r>
          </w:p>
        </w:tc>
        <w:tc>
          <w:tcPr>
            <w:tcW w:w="10410" w:type="dxa"/>
          </w:tcPr>
          <w:p w:rsidR="00E60FFD" w:rsidRDefault="00E60FFD" w:rsidP="0079799D">
            <w:pPr>
              <w:rPr>
                <w:b/>
              </w:rPr>
            </w:pPr>
            <w:r>
              <w:rPr>
                <w:b/>
              </w:rPr>
              <w:t>Success measures</w:t>
            </w:r>
          </w:p>
        </w:tc>
      </w:tr>
      <w:tr w:rsidR="00E60FFD" w:rsidTr="001C4A47">
        <w:trPr>
          <w:trHeight w:val="7085"/>
        </w:trPr>
        <w:tc>
          <w:tcPr>
            <w:tcW w:w="3540" w:type="dxa"/>
          </w:tcPr>
          <w:p w:rsidR="00774D26" w:rsidRDefault="00774D26" w:rsidP="00A34ADB">
            <w:pPr>
              <w:pStyle w:val="ListParagraph"/>
              <w:numPr>
                <w:ilvl w:val="1"/>
                <w:numId w:val="2"/>
              </w:numPr>
            </w:pPr>
            <w:r>
              <w:lastRenderedPageBreak/>
              <w:t>Managers of research staff should budget, plan and support research staff to take up to 10 days per annum for professional and career development training. Produce a statement for PIs</w:t>
            </w:r>
            <w:r w:rsidR="005307F7">
              <w:t>.</w:t>
            </w:r>
          </w:p>
          <w:p w:rsidR="00A34ADB" w:rsidRDefault="00A34ADB" w:rsidP="00A34ADB">
            <w:pPr>
              <w:pStyle w:val="ListParagraph"/>
              <w:ind w:left="360"/>
            </w:pPr>
          </w:p>
          <w:p w:rsidR="00A34ADB" w:rsidRDefault="00A34ADB" w:rsidP="00A34ADB">
            <w:pPr>
              <w:pStyle w:val="ListParagraph"/>
              <w:ind w:left="360"/>
            </w:pPr>
          </w:p>
          <w:p w:rsidR="00774D26" w:rsidRDefault="00774D26" w:rsidP="0079799D">
            <w:pPr>
              <w:pStyle w:val="ListParagraph"/>
              <w:numPr>
                <w:ilvl w:val="1"/>
                <w:numId w:val="2"/>
              </w:numPr>
            </w:pPr>
            <w:r>
              <w:t>Provide researchers with the tools and encouragement to evaluate their own skills and development needs via a Training Needs Analysis and/or PDR and the Researcher Development Framework</w:t>
            </w:r>
            <w:r w:rsidR="005307F7">
              <w:t>.</w:t>
            </w: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774D26" w:rsidP="00A34ADB">
            <w:pPr>
              <w:pStyle w:val="ListParagraph"/>
              <w:numPr>
                <w:ilvl w:val="1"/>
                <w:numId w:val="2"/>
              </w:numPr>
            </w:pPr>
            <w:r>
              <w:lastRenderedPageBreak/>
              <w:t xml:space="preserve">Deliver careers advice for early career and long-term research staff; deliver enhanced and </w:t>
            </w:r>
            <w:r w:rsidR="001A79A3">
              <w:t>m</w:t>
            </w:r>
            <w:r>
              <w:t>ore visible career prospects and publicise cases studies of “success stories”</w:t>
            </w:r>
          </w:p>
          <w:p w:rsidR="00774D26" w:rsidRDefault="00774D26" w:rsidP="0079799D">
            <w:pPr>
              <w:pStyle w:val="ListParagraph"/>
              <w:numPr>
                <w:ilvl w:val="1"/>
                <w:numId w:val="2"/>
              </w:numPr>
            </w:pPr>
            <w:r>
              <w:t xml:space="preserve">Provide mentors (other than direct line manager) who are proactively involved in personal, professional and career development of research </w:t>
            </w:r>
            <w:r w:rsidR="00881EFD">
              <w:t>staff.</w:t>
            </w: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ind w:left="360"/>
            </w:pPr>
          </w:p>
          <w:p w:rsidR="00774D26" w:rsidRDefault="00774D26" w:rsidP="0079799D">
            <w:pPr>
              <w:pStyle w:val="ListParagraph"/>
              <w:numPr>
                <w:ilvl w:val="1"/>
                <w:numId w:val="2"/>
              </w:numPr>
            </w:pPr>
            <w:r>
              <w:t>Provide deployment opportunities for skills regarding project-specific needs, employability, learning &amp; teaching roles, public engagement, knowledge transfer, income generation and/or entrepreneurship activities</w:t>
            </w:r>
            <w:r w:rsidR="005307F7">
              <w:t>.</w:t>
            </w:r>
            <w:r>
              <w:t xml:space="preserve"> </w:t>
            </w:r>
          </w:p>
          <w:p w:rsidR="005A2988" w:rsidRDefault="005A2988" w:rsidP="0079799D">
            <w:pPr>
              <w:pStyle w:val="ListParagraph"/>
              <w:numPr>
                <w:ilvl w:val="1"/>
                <w:numId w:val="2"/>
              </w:numPr>
            </w:pPr>
            <w:r>
              <w:t>Identify/articulate and facilitate outputs/skills/competencies necessary for career paths/transitions to (i) promoted research posts, academic roles and (ii) industry</w:t>
            </w:r>
            <w:r w:rsidR="005307F7">
              <w:t>.</w:t>
            </w:r>
          </w:p>
          <w:p w:rsidR="00A34ADB" w:rsidRDefault="00A34ADB" w:rsidP="00A34ADB">
            <w:pPr>
              <w:pStyle w:val="ListParagraph"/>
              <w:ind w:left="360"/>
            </w:pPr>
          </w:p>
          <w:p w:rsidR="005A2988" w:rsidRDefault="005A2988" w:rsidP="0079799D">
            <w:pPr>
              <w:pStyle w:val="ListParagraph"/>
              <w:numPr>
                <w:ilvl w:val="1"/>
                <w:numId w:val="2"/>
              </w:numPr>
            </w:pPr>
            <w:r>
              <w:t xml:space="preserve">Improve PDR system for </w:t>
            </w:r>
            <w:r>
              <w:lastRenderedPageBreak/>
              <w:t xml:space="preserve">research and academic staff addressing (i) specific development needs (ii) embedding career trajectories (academic, industry, research) via Personal Development Plans to support employability (iii) assessing performance against personal/professional/career gals </w:t>
            </w:r>
            <w:proofErr w:type="gramStart"/>
            <w:r>
              <w:t>(iv) provision</w:t>
            </w:r>
            <w:proofErr w:type="gramEnd"/>
            <w:r>
              <w:t xml:space="preserve"> of annual PDRs (v) ensuring PDRs support professional and career development. Develop electronic system to monitor and manage the PDR process for research staff</w:t>
            </w:r>
            <w:r w:rsidR="005307F7">
              <w:t>.</w:t>
            </w:r>
          </w:p>
          <w:p w:rsidR="00A34ADB" w:rsidRDefault="00A34ADB" w:rsidP="00A34ADB">
            <w:pPr>
              <w:pStyle w:val="ListParagraph"/>
            </w:pPr>
          </w:p>
          <w:p w:rsidR="00A34ADB" w:rsidRDefault="00A34ADB" w:rsidP="00A34ADB">
            <w:pPr>
              <w:pStyle w:val="ListParagraph"/>
            </w:pPr>
          </w:p>
          <w:p w:rsidR="005A2988" w:rsidRDefault="005A2988" w:rsidP="0079799D">
            <w:pPr>
              <w:pStyle w:val="ListParagraph"/>
              <w:numPr>
                <w:ilvl w:val="1"/>
                <w:numId w:val="2"/>
              </w:numPr>
            </w:pPr>
            <w:r>
              <w:t>Encourage PIs/line managers to release staff for training course/opportunities</w:t>
            </w:r>
            <w:r w:rsidR="005307F7">
              <w:t>.</w:t>
            </w:r>
          </w:p>
          <w:p w:rsidR="00A34ADB" w:rsidRDefault="00A34ADB" w:rsidP="00A34ADB"/>
          <w:p w:rsidR="00A34ADB" w:rsidRDefault="00A34ADB" w:rsidP="00A34ADB"/>
          <w:p w:rsidR="00A34ADB" w:rsidRDefault="00A34ADB" w:rsidP="00A34ADB"/>
          <w:p w:rsidR="00A34ADB" w:rsidRDefault="00A34ADB" w:rsidP="00A34ADB"/>
          <w:p w:rsidR="005A2988" w:rsidRDefault="005A2988" w:rsidP="0079799D">
            <w:pPr>
              <w:pStyle w:val="ListParagraph"/>
              <w:numPr>
                <w:ilvl w:val="1"/>
                <w:numId w:val="2"/>
              </w:numPr>
            </w:pPr>
            <w:r>
              <w:t xml:space="preserve">Encourage mobility between academia/industry – UK/Overseas, research disciplines/groups through placements/exchanges as a </w:t>
            </w:r>
            <w:r>
              <w:lastRenderedPageBreak/>
              <w:t>development path</w:t>
            </w:r>
            <w:r w:rsidR="005307F7">
              <w:t>.</w:t>
            </w:r>
          </w:p>
          <w:p w:rsidR="00D564DF" w:rsidRPr="00E60FFD" w:rsidRDefault="000E374A" w:rsidP="00152C3C">
            <w:r>
              <w:t xml:space="preserve">3.10 </w:t>
            </w:r>
            <w:r w:rsidR="005A2988">
              <w:t>Develop and enhance induction (</w:t>
            </w:r>
            <w:r w:rsidR="005307F7">
              <w:t>Welcome and</w:t>
            </w:r>
            <w:r w:rsidR="005A2988">
              <w:t xml:space="preserve"> support) programmes and resources for International, EU and UK research staff at Research Group, School, faculty and University levels.</w:t>
            </w:r>
          </w:p>
        </w:tc>
        <w:tc>
          <w:tcPr>
            <w:tcW w:w="10410" w:type="dxa"/>
          </w:tcPr>
          <w:p w:rsidR="00E60FFD" w:rsidRDefault="000E374A" w:rsidP="00C60550">
            <w:r>
              <w:lastRenderedPageBreak/>
              <w:t xml:space="preserve">3.1 </w:t>
            </w:r>
            <w:r w:rsidR="005320B9">
              <w:t xml:space="preserve">A </w:t>
            </w:r>
            <w:r w:rsidR="00BE51CB">
              <w:t>formal communication to managers of research staff regarding the release of research staff for up to 10 days per annum of</w:t>
            </w:r>
            <w:r w:rsidR="005320B9">
              <w:t xml:space="preserve"> career and professional development</w:t>
            </w:r>
            <w:r w:rsidR="00BE51CB">
              <w:t xml:space="preserve"> has not ben produced</w:t>
            </w:r>
            <w:r w:rsidR="005320B9">
              <w:t xml:space="preserve">. </w:t>
            </w:r>
            <w:r w:rsidR="005307F7">
              <w:t xml:space="preserve">However, The University </w:t>
            </w:r>
            <w:hyperlink r:id="rId12" w:history="1">
              <w:r w:rsidR="005307F7" w:rsidRPr="00C60550">
                <w:rPr>
                  <w:rStyle w:val="Hyperlink"/>
                </w:rPr>
                <w:t>Training and Development Policy</w:t>
              </w:r>
            </w:hyperlink>
            <w:r w:rsidR="005307F7">
              <w:t xml:space="preserve"> states that “Training and development is </w:t>
            </w:r>
            <w:r w:rsidR="00C60550">
              <w:t>the</w:t>
            </w:r>
            <w:r w:rsidR="005307F7">
              <w:t xml:space="preserve"> responsibility of all staff at The University and individual line managers have a responsi</w:t>
            </w:r>
            <w:r w:rsidR="00BE51CB">
              <w:t>bility</w:t>
            </w:r>
            <w:r w:rsidR="005307F7">
              <w:t xml:space="preserve"> to “take an active part in helping staff identify their development needs, facilitating access to staff development opportunities and assessing </w:t>
            </w:r>
            <w:r w:rsidR="00EF336A">
              <w:t>t</w:t>
            </w:r>
            <w:r w:rsidR="005307F7">
              <w:t xml:space="preserve">he effectiveness and performance gain form staff development.”  </w:t>
            </w:r>
            <w:r w:rsidR="00C60550">
              <w:t>This Policy, and the expectation that PIs/line managers support research staff in attending up to 10 days of appropriate training and development, will be highlighted in the training to be given to reviewers in the new online PDR University system.</w:t>
            </w:r>
          </w:p>
          <w:p w:rsidR="004B61A8" w:rsidRDefault="000E374A" w:rsidP="00E75C4E">
            <w:r>
              <w:t xml:space="preserve">3.2 </w:t>
            </w:r>
            <w:r w:rsidR="00C60550">
              <w:t xml:space="preserve">The ethos of The University Training and Development </w:t>
            </w:r>
            <w:r w:rsidR="00881EFD">
              <w:t>Policy as</w:t>
            </w:r>
            <w:r w:rsidR="00C60550">
              <w:t xml:space="preserve"> well as the training delivered to </w:t>
            </w:r>
            <w:r w:rsidR="00BE51CB">
              <w:t>re</w:t>
            </w:r>
            <w:r w:rsidR="00C60550">
              <w:t xml:space="preserve">search staff by </w:t>
            </w:r>
            <w:r w:rsidR="001A79A3">
              <w:t>Faculty</w:t>
            </w:r>
            <w:r w:rsidR="00C60550">
              <w:t xml:space="preserve"> &amp; P</w:t>
            </w:r>
            <w:r w:rsidR="00BE51CB">
              <w:t xml:space="preserve">rofessional Support Services (PSS) </w:t>
            </w:r>
            <w:r w:rsidR="001A79A3">
              <w:t>training</w:t>
            </w:r>
            <w:r w:rsidR="00C60550">
              <w:t xml:space="preserve"> teams, is that research staff are res</w:t>
            </w:r>
            <w:r w:rsidR="001A79A3">
              <w:t>ponsible</w:t>
            </w:r>
            <w:r w:rsidR="00C60550">
              <w:t xml:space="preserve"> for planning their training needs, in </w:t>
            </w:r>
            <w:r w:rsidR="001A79A3">
              <w:t>consultation with</w:t>
            </w:r>
            <w:r w:rsidR="00C60550">
              <w:t xml:space="preserve"> their respective </w:t>
            </w:r>
            <w:r w:rsidR="001A79A3">
              <w:t>line</w:t>
            </w:r>
            <w:r w:rsidR="00C60550">
              <w:t xml:space="preserve"> manager. Guidance in</w:t>
            </w:r>
            <w:r w:rsidR="001A79A3">
              <w:t xml:space="preserve"> </w:t>
            </w:r>
            <w:r w:rsidR="00C60550">
              <w:t xml:space="preserve">this process is </w:t>
            </w:r>
            <w:r w:rsidR="001A79A3">
              <w:t>available</w:t>
            </w:r>
            <w:r w:rsidR="00C60550">
              <w:t xml:space="preserve"> to </w:t>
            </w:r>
            <w:r w:rsidR="001A79A3">
              <w:t>research</w:t>
            </w:r>
            <w:r w:rsidR="00C60550">
              <w:t xml:space="preserve"> staff via Faculty and PSS teams (</w:t>
            </w:r>
            <w:r w:rsidR="001A79A3">
              <w:t>including</w:t>
            </w:r>
            <w:r w:rsidR="00C60550">
              <w:t xml:space="preserve"> the Careers Service)</w:t>
            </w:r>
            <w:r w:rsidR="00881EFD">
              <w:t xml:space="preserve">. </w:t>
            </w:r>
          </w:p>
          <w:p w:rsidR="004B61A8" w:rsidRDefault="004B61A8" w:rsidP="00E75C4E">
            <w:r>
              <w:t>Other procedures include:</w:t>
            </w:r>
          </w:p>
          <w:p w:rsidR="004B61A8" w:rsidRDefault="00881EFD" w:rsidP="004B61A8">
            <w:pPr>
              <w:pStyle w:val="ListParagraph"/>
              <w:numPr>
                <w:ilvl w:val="0"/>
                <w:numId w:val="9"/>
              </w:numPr>
            </w:pPr>
            <w:r>
              <w:t xml:space="preserve">An Induction checklist in the </w:t>
            </w:r>
            <w:r w:rsidR="004B61A8">
              <w:t>Research Staff Handbook</w:t>
            </w:r>
            <w:r>
              <w:t xml:space="preserve"> </w:t>
            </w:r>
            <w:r w:rsidR="004B61A8">
              <w:t xml:space="preserve">is intended to prompt discussion about training needs </w:t>
            </w:r>
            <w:r w:rsidR="00E75C4E">
              <w:t xml:space="preserve"> upon</w:t>
            </w:r>
            <w:r w:rsidR="004B61A8">
              <w:t xml:space="preserve"> a research staff member starting a new contract;</w:t>
            </w:r>
          </w:p>
          <w:p w:rsidR="00C60550" w:rsidRDefault="004B61A8" w:rsidP="004B61A8">
            <w:pPr>
              <w:pStyle w:val="ListParagraph"/>
              <w:numPr>
                <w:ilvl w:val="0"/>
                <w:numId w:val="9"/>
              </w:numPr>
            </w:pPr>
            <w:r>
              <w:t xml:space="preserve">A </w:t>
            </w:r>
            <w:r w:rsidR="00F74A92">
              <w:t xml:space="preserve">Persona Development Plan (PDP) proforma was delivered as part of the online PDR system developed and piloted amongst research staff in 2013/14. </w:t>
            </w:r>
            <w:r>
              <w:t xml:space="preserve">Making use of this porforma proved a </w:t>
            </w:r>
            <w:r w:rsidR="0079799D">
              <w:t xml:space="preserve">more effective route to encourage career planning than employing the RDF (only 9% of respondents to CROS 2015 agreed that they had made use of the RDF to support their CPD activity). </w:t>
            </w:r>
          </w:p>
          <w:p w:rsidR="00E75C4E" w:rsidRPr="00F74A92" w:rsidRDefault="00E75C4E" w:rsidP="00F74A92">
            <w:pPr>
              <w:rPr>
                <w:b/>
              </w:rPr>
            </w:pPr>
            <w:r w:rsidRPr="00F74A92">
              <w:rPr>
                <w:b/>
                <w:u w:val="single"/>
              </w:rPr>
              <w:t>CROS 2015 evidence</w:t>
            </w:r>
            <w:r w:rsidRPr="00E75C4E">
              <w:rPr>
                <w:b/>
              </w:rPr>
              <w:t xml:space="preserve">: </w:t>
            </w:r>
            <w:r w:rsidRPr="00F74A92">
              <w:rPr>
                <w:b/>
              </w:rPr>
              <w:t>Of the respondents to t</w:t>
            </w:r>
            <w:r w:rsidR="004B61A8">
              <w:rPr>
                <w:b/>
              </w:rPr>
              <w:t xml:space="preserve">he 2015 CROS, 28%, 36% and 61%, respectively, </w:t>
            </w:r>
            <w:r w:rsidR="00F74A92" w:rsidRPr="00F74A92">
              <w:rPr>
                <w:b/>
              </w:rPr>
              <w:t>found an</w:t>
            </w:r>
            <w:r w:rsidR="004B61A8">
              <w:rPr>
                <w:b/>
              </w:rPr>
              <w:t xml:space="preserve"> institution – wide, </w:t>
            </w:r>
            <w:r w:rsidRPr="00F74A92">
              <w:rPr>
                <w:b/>
              </w:rPr>
              <w:t xml:space="preserve">School/Faculty and/or a local (Research Group) induction useful, with the remainder finding the </w:t>
            </w:r>
            <w:r w:rsidR="00F74A92" w:rsidRPr="00F74A92">
              <w:rPr>
                <w:b/>
              </w:rPr>
              <w:t xml:space="preserve">induction either not useful or not offered. These data will trigger a review of the induction process for research staff, accompanied by an overhaul of the Induction section in the Research Staff Handbook, making it more prominent and emphasising induction as a key part of starting a new </w:t>
            </w:r>
            <w:r w:rsidR="004B61A8">
              <w:rPr>
                <w:b/>
              </w:rPr>
              <w:t xml:space="preserve">research </w:t>
            </w:r>
            <w:r w:rsidR="00F74A92" w:rsidRPr="00F74A92">
              <w:rPr>
                <w:b/>
              </w:rPr>
              <w:t xml:space="preserve">contract at The University. </w:t>
            </w:r>
          </w:p>
          <w:p w:rsidR="00F74A92" w:rsidRPr="00F74A92" w:rsidRDefault="00F74A92" w:rsidP="00F74A92">
            <w:pPr>
              <w:rPr>
                <w:b/>
              </w:rPr>
            </w:pPr>
            <w:r w:rsidRPr="00F74A92">
              <w:rPr>
                <w:b/>
              </w:rPr>
              <w:t xml:space="preserve">The CROS 2015 results show a 4% increase compared to 2013 in those respondents who maintain a formal record of CPD activities, such as a PDP. This may be a direct result of piloting </w:t>
            </w:r>
            <w:r w:rsidR="004B61A8">
              <w:rPr>
                <w:b/>
              </w:rPr>
              <w:t xml:space="preserve">the online PDR system amongst </w:t>
            </w:r>
            <w:r w:rsidRPr="00F74A92">
              <w:rPr>
                <w:b/>
              </w:rPr>
              <w:t>research staff in 2013/14, and/or evidence of a further embedding of the expectation that all staff, including research staff, take responsibility for their career development</w:t>
            </w:r>
            <w:r w:rsidR="00BF4A88">
              <w:rPr>
                <w:b/>
              </w:rPr>
              <w:t xml:space="preserve"> (86% of respondents to 2015 CROS agreed that that they take ownership of their own career development)</w:t>
            </w:r>
            <w:r w:rsidRPr="00F74A92">
              <w:rPr>
                <w:b/>
              </w:rPr>
              <w:t xml:space="preserve">.  </w:t>
            </w:r>
          </w:p>
          <w:p w:rsidR="004B61A8" w:rsidRDefault="000E374A" w:rsidP="00F74A92">
            <w:r>
              <w:lastRenderedPageBreak/>
              <w:t xml:space="preserve">3.3 &amp; 3.4 </w:t>
            </w:r>
            <w:r w:rsidR="00F94111">
              <w:t>Dedicated Faculty Researcher Development and PSS Teams continue to deliver a comprehensive programme of training and development activities specifically for research staff. Included in this provision is advice on career paths and choices open to research staff</w:t>
            </w:r>
            <w:r w:rsidR="004B61A8">
              <w:t xml:space="preserve"> and 1:1 mentoring/coaching</w:t>
            </w:r>
            <w:r w:rsidR="00F94111">
              <w:t>.  Other provision includes</w:t>
            </w:r>
            <w:r w:rsidR="004B61A8">
              <w:t>:</w:t>
            </w:r>
          </w:p>
          <w:p w:rsidR="004B61A8" w:rsidRDefault="004B61A8" w:rsidP="004B61A8">
            <w:pPr>
              <w:pStyle w:val="ListParagraph"/>
              <w:numPr>
                <w:ilvl w:val="0"/>
                <w:numId w:val="10"/>
              </w:numPr>
            </w:pPr>
            <w:r>
              <w:t>The</w:t>
            </w:r>
            <w:r w:rsidR="00F94111">
              <w:t xml:space="preserve"> T</w:t>
            </w:r>
            <w:r w:rsidR="00BF4A88">
              <w:t>ime</w:t>
            </w:r>
            <w:r>
              <w:t>s</w:t>
            </w:r>
            <w:r w:rsidR="00BF4A88">
              <w:t xml:space="preserve"> Higher Education </w:t>
            </w:r>
            <w:r w:rsidR="00F94111">
              <w:t xml:space="preserve">award-winning website – </w:t>
            </w:r>
            <w:hyperlink r:id="rId13" w:history="1">
              <w:r w:rsidR="00F94111" w:rsidRPr="00F94111">
                <w:rPr>
                  <w:rStyle w:val="Hyperlink"/>
                </w:rPr>
                <w:t>Academic Careers</w:t>
              </w:r>
            </w:hyperlink>
            <w:r w:rsidR="00F94111">
              <w:t xml:space="preserve"> - developed by The University’s Careers Service in collaboration with a wide range of academics and researchers </w:t>
            </w:r>
            <w:r>
              <w:t>;</w:t>
            </w:r>
          </w:p>
          <w:p w:rsidR="004B61A8" w:rsidRDefault="00D92BBC" w:rsidP="004B61A8">
            <w:pPr>
              <w:pStyle w:val="ListParagraph"/>
              <w:numPr>
                <w:ilvl w:val="0"/>
                <w:numId w:val="10"/>
              </w:numPr>
            </w:pPr>
            <w:hyperlink r:id="rId14" w:history="1">
              <w:r w:rsidR="004B61A8">
                <w:rPr>
                  <w:rStyle w:val="Hyperlink"/>
                </w:rPr>
                <w:t>The Manchester Gold M</w:t>
              </w:r>
              <w:r w:rsidR="00F94111" w:rsidRPr="00F94111">
                <w:rPr>
                  <w:rStyle w:val="Hyperlink"/>
                </w:rPr>
                <w:t>entoring scheme</w:t>
              </w:r>
            </w:hyperlink>
            <w:r w:rsidR="00F94111">
              <w:t>. Taking part in th</w:t>
            </w:r>
            <w:r w:rsidR="004B61A8">
              <w:t>is</w:t>
            </w:r>
            <w:r w:rsidR="00F94111">
              <w:t xml:space="preserve"> mentoring programme is a way for </w:t>
            </w:r>
            <w:r w:rsidR="005567EA">
              <w:t>research</w:t>
            </w:r>
            <w:r w:rsidR="00F94111">
              <w:t xml:space="preserve"> staff to collect </w:t>
            </w:r>
            <w:r w:rsidR="005567EA">
              <w:t>information</w:t>
            </w:r>
            <w:r w:rsidR="00F94111">
              <w:t xml:space="preserve">, advice and guidance about their </w:t>
            </w:r>
            <w:r w:rsidR="005567EA">
              <w:t>future</w:t>
            </w:r>
            <w:r w:rsidR="00F94111">
              <w:t xml:space="preserve"> f</w:t>
            </w:r>
            <w:r w:rsidR="005567EA">
              <w:t>rom</w:t>
            </w:r>
            <w:r w:rsidR="00F94111">
              <w:t xml:space="preserve"> a mentor. </w:t>
            </w:r>
            <w:r w:rsidR="005567EA">
              <w:t xml:space="preserve">Staff are matched to an appropriate mentor – the mentor can be doing the job the mentee is aiming for, working in an area that is of interest, or working in the same area – who is in contact for 6 months. </w:t>
            </w:r>
          </w:p>
          <w:p w:rsidR="006D7CFE" w:rsidRDefault="005567EA" w:rsidP="004B61A8">
            <w:pPr>
              <w:pStyle w:val="ListParagraph"/>
              <w:numPr>
                <w:ilvl w:val="0"/>
                <w:numId w:val="10"/>
              </w:numPr>
            </w:pPr>
            <w:r>
              <w:t xml:space="preserve">The University’s </w:t>
            </w:r>
            <w:hyperlink r:id="rId15" w:history="1">
              <w:r w:rsidRPr="006D7CFE">
                <w:rPr>
                  <w:rStyle w:val="Hyperlink"/>
                </w:rPr>
                <w:t>Staff Training and Development Unit</w:t>
              </w:r>
            </w:hyperlink>
            <w:r>
              <w:t xml:space="preserve"> offers 1:1 </w:t>
            </w:r>
            <w:hyperlink r:id="rId16" w:history="1">
              <w:r w:rsidRPr="005567EA">
                <w:rPr>
                  <w:rStyle w:val="Hyperlink"/>
                </w:rPr>
                <w:t>Coaching and Mentoring</w:t>
              </w:r>
            </w:hyperlink>
            <w:r>
              <w:t xml:space="preserve"> support available to </w:t>
            </w:r>
            <w:r w:rsidR="004B61A8">
              <w:t xml:space="preserve">all </w:t>
            </w:r>
            <w:r w:rsidR="006D7CFE">
              <w:t>research staff</w:t>
            </w:r>
            <w:r w:rsidR="00942E9F">
              <w:t xml:space="preserve"> (</w:t>
            </w:r>
            <w:r w:rsidR="00942E9F" w:rsidRPr="00942E9F">
              <w:rPr>
                <w:b/>
                <w:color w:val="FF0000"/>
              </w:rPr>
              <w:t>include data re uptake here</w:t>
            </w:r>
            <w:r w:rsidR="00942E9F">
              <w:t>)</w:t>
            </w:r>
          </w:p>
          <w:p w:rsidR="00F74A92" w:rsidRDefault="006D7CFE" w:rsidP="004B61A8">
            <w:pPr>
              <w:pStyle w:val="ListParagraph"/>
              <w:numPr>
                <w:ilvl w:val="0"/>
                <w:numId w:val="10"/>
              </w:numPr>
            </w:pPr>
            <w:r>
              <w:t xml:space="preserve">A great deal of ad-hoc </w:t>
            </w:r>
            <w:r w:rsidR="005567EA">
              <w:t>informal mentoring is offered in labs or working environments to new research staff by current research staff.</w:t>
            </w:r>
          </w:p>
          <w:p w:rsidR="00942E9F" w:rsidRDefault="00942E9F" w:rsidP="00F74A92"/>
          <w:p w:rsidR="00BF4A88" w:rsidRDefault="000E374A" w:rsidP="00F74A92">
            <w:r>
              <w:t xml:space="preserve">3.5 &amp; 3.6 Faculty Researcher Development &amp; PSS Teams offer a comprehensive package of opportunities for research staff to engage with activities to assist their development and employability, including career transitions. However, researchers in one Faculty identified areas where provision could be improved are entrepreneurship and business skills. </w:t>
            </w:r>
          </w:p>
          <w:p w:rsidR="00A34ADB" w:rsidRDefault="00A34ADB" w:rsidP="00F74A92"/>
          <w:p w:rsidR="00A34ADB" w:rsidRDefault="00A34ADB" w:rsidP="00F74A92"/>
          <w:p w:rsidR="00A34ADB" w:rsidRDefault="00A34ADB" w:rsidP="00F74A92"/>
          <w:p w:rsidR="00A34ADB" w:rsidRDefault="00A34ADB" w:rsidP="00F74A92"/>
          <w:p w:rsidR="00A34ADB" w:rsidRDefault="00A34ADB" w:rsidP="00F74A92"/>
          <w:p w:rsidR="00A34ADB" w:rsidRDefault="00A34ADB" w:rsidP="00F74A92"/>
          <w:p w:rsidR="00A34ADB" w:rsidRDefault="00A34ADB" w:rsidP="00F74A92"/>
          <w:p w:rsidR="000E374A" w:rsidRDefault="000E374A" w:rsidP="00F74A92">
            <w:r>
              <w:t xml:space="preserve">3.7 The University invested significant resources to develop and pilot </w:t>
            </w:r>
            <w:r w:rsidR="001C4A47">
              <w:t xml:space="preserve">the previously mentioned </w:t>
            </w:r>
            <w:r>
              <w:t xml:space="preserve">online </w:t>
            </w:r>
            <w:r w:rsidR="001C4A47">
              <w:t xml:space="preserve">PDR </w:t>
            </w:r>
            <w:r>
              <w:lastRenderedPageBreak/>
              <w:t xml:space="preserve">system for research staff – The Researcher Development Online Tool (ResDOT) – to increase the </w:t>
            </w:r>
            <w:r w:rsidR="00EB17E2">
              <w:t>engagement</w:t>
            </w:r>
            <w:r>
              <w:t xml:space="preserve"> and </w:t>
            </w:r>
            <w:r w:rsidR="00EB17E2">
              <w:t>effectiveness</w:t>
            </w:r>
            <w:r>
              <w:t xml:space="preserve"> </w:t>
            </w:r>
            <w:r w:rsidR="00EB17E2">
              <w:t>of</w:t>
            </w:r>
            <w:r>
              <w:t xml:space="preserve"> the PDR </w:t>
            </w:r>
            <w:r w:rsidR="00EB17E2">
              <w:t>system</w:t>
            </w:r>
            <w:r>
              <w:t xml:space="preserve"> </w:t>
            </w:r>
            <w:r w:rsidR="00EB17E2">
              <w:t>and better support career development</w:t>
            </w:r>
            <w:r w:rsidR="001C4A47">
              <w:t xml:space="preserve"> amongst research staff members</w:t>
            </w:r>
            <w:r>
              <w:t xml:space="preserve">. </w:t>
            </w:r>
            <w:r w:rsidR="001C4A47">
              <w:t xml:space="preserve">ResDOT </w:t>
            </w:r>
            <w:r w:rsidR="007C1C77">
              <w:t xml:space="preserve">was developed </w:t>
            </w:r>
            <w:r w:rsidR="001C4A47">
              <w:t xml:space="preserve">with extensive </w:t>
            </w:r>
            <w:r w:rsidR="007C1C77">
              <w:t xml:space="preserve">consultation </w:t>
            </w:r>
            <w:r w:rsidR="001C4A47">
              <w:t xml:space="preserve">including </w:t>
            </w:r>
            <w:r w:rsidR="007C1C77">
              <w:t>research staff, academics, administrators and research managers and</w:t>
            </w:r>
            <w:r w:rsidR="00EF336A">
              <w:t xml:space="preserve"> was supported by guidance and information on resources </w:t>
            </w:r>
            <w:r w:rsidR="007C1C77">
              <w:t xml:space="preserve">(local and national e.g. </w:t>
            </w:r>
            <w:r w:rsidR="007C1C77" w:rsidRPr="001C4A47">
              <w:rPr>
                <w:i/>
              </w:rPr>
              <w:t>Vitae</w:t>
            </w:r>
            <w:r w:rsidR="007C1C77">
              <w:t xml:space="preserve">) </w:t>
            </w:r>
            <w:r w:rsidR="00EF336A">
              <w:t xml:space="preserve">available to research staff to </w:t>
            </w:r>
            <w:r w:rsidR="001C4A47">
              <w:t xml:space="preserve">help them think about and plan </w:t>
            </w:r>
            <w:r w:rsidR="007C1C77">
              <w:t xml:space="preserve">their career development. </w:t>
            </w:r>
            <w:r w:rsidR="001C4A47">
              <w:t xml:space="preserve">ResDOT </w:t>
            </w:r>
            <w:r w:rsidR="007C1C77">
              <w:t>was piloted with research staff (revi</w:t>
            </w:r>
            <w:r w:rsidR="00FD2237">
              <w:t>e</w:t>
            </w:r>
            <w:r w:rsidR="007C1C77">
              <w:t xml:space="preserve">wees) and reviewers </w:t>
            </w:r>
            <w:r w:rsidR="00FD2237">
              <w:t xml:space="preserve">(PIs/line managers) </w:t>
            </w:r>
            <w:r w:rsidR="007C1C77">
              <w:t xml:space="preserve">in </w:t>
            </w:r>
            <w:r w:rsidR="001C4A47">
              <w:t xml:space="preserve">three Schools and, due to its success, is now being developed for rolling out to all University staff. </w:t>
            </w:r>
          </w:p>
          <w:p w:rsidR="001C4A47" w:rsidRDefault="001C4A47" w:rsidP="001C4A47">
            <w:pPr>
              <w:rPr>
                <w:rFonts w:ascii="Calibri" w:eastAsia="Times New Roman" w:hAnsi="Calibri" w:cs="Times New Roman"/>
                <w:b/>
                <w:iCs/>
                <w:color w:val="000000"/>
                <w:lang w:eastAsia="en-GB"/>
              </w:rPr>
            </w:pPr>
            <w:r w:rsidRPr="00920053">
              <w:rPr>
                <w:rFonts w:ascii="Calibri" w:eastAsia="Times New Roman" w:hAnsi="Calibri" w:cs="Times New Roman"/>
                <w:b/>
                <w:iCs/>
                <w:color w:val="000000"/>
                <w:u w:val="single"/>
                <w:lang w:eastAsia="en-GB"/>
              </w:rPr>
              <w:t>CROS supporting evidence</w:t>
            </w:r>
            <w:r w:rsidRPr="00920053">
              <w:rPr>
                <w:rFonts w:ascii="Calibri" w:eastAsia="Times New Roman" w:hAnsi="Calibri" w:cs="Times New Roman"/>
                <w:b/>
                <w:iCs/>
                <w:color w:val="000000"/>
                <w:lang w:eastAsia="en-GB"/>
              </w:rPr>
              <w:t xml:space="preserve">: </w:t>
            </w:r>
            <w:r>
              <w:rPr>
                <w:rFonts w:ascii="Calibri" w:eastAsia="Times New Roman" w:hAnsi="Calibri" w:cs="Times New Roman"/>
                <w:b/>
                <w:iCs/>
                <w:color w:val="000000"/>
                <w:lang w:eastAsia="en-GB"/>
              </w:rPr>
              <w:t xml:space="preserve"> Circumstantial evidence that ResDOT had a positive impact on the culture of PDRs amongst research staff and line managers is that between 2013</w:t>
            </w:r>
            <w:r w:rsidRPr="00920053">
              <w:rPr>
                <w:rFonts w:ascii="Calibri" w:eastAsia="Times New Roman" w:hAnsi="Calibri" w:cs="Times New Roman"/>
                <w:b/>
                <w:iCs/>
                <w:color w:val="000000"/>
                <w:lang w:eastAsia="en-GB"/>
              </w:rPr>
              <w:t xml:space="preserve"> </w:t>
            </w:r>
            <w:r>
              <w:rPr>
                <w:rFonts w:ascii="Calibri" w:eastAsia="Times New Roman" w:hAnsi="Calibri" w:cs="Times New Roman"/>
                <w:b/>
                <w:iCs/>
                <w:color w:val="000000"/>
                <w:lang w:eastAsia="en-GB"/>
              </w:rPr>
              <w:t xml:space="preserve">and </w:t>
            </w:r>
            <w:r w:rsidRPr="00920053">
              <w:rPr>
                <w:rFonts w:ascii="Calibri" w:eastAsia="Times New Roman" w:hAnsi="Calibri" w:cs="Times New Roman"/>
                <w:b/>
                <w:iCs/>
                <w:color w:val="000000"/>
                <w:lang w:eastAsia="en-GB"/>
              </w:rPr>
              <w:t xml:space="preserve">2015, </w:t>
            </w:r>
            <w:r>
              <w:rPr>
                <w:rFonts w:ascii="Calibri" w:eastAsia="Times New Roman" w:hAnsi="Calibri" w:cs="Times New Roman"/>
                <w:b/>
                <w:iCs/>
                <w:color w:val="000000"/>
                <w:lang w:eastAsia="en-GB"/>
              </w:rPr>
              <w:t xml:space="preserve">CROS data shows a </w:t>
            </w:r>
            <w:r w:rsidRPr="00920053">
              <w:rPr>
                <w:rFonts w:ascii="Calibri" w:eastAsia="Times New Roman" w:hAnsi="Calibri" w:cs="Times New Roman"/>
                <w:b/>
                <w:iCs/>
                <w:color w:val="000000"/>
                <w:lang w:eastAsia="en-GB"/>
              </w:rPr>
              <w:t xml:space="preserve">13% increase in the number of respondents saying they had participated in a staff appraisal </w:t>
            </w:r>
            <w:r>
              <w:rPr>
                <w:rFonts w:ascii="Calibri" w:eastAsia="Times New Roman" w:hAnsi="Calibri" w:cs="Times New Roman"/>
                <w:b/>
                <w:iCs/>
                <w:color w:val="000000"/>
                <w:lang w:eastAsia="en-GB"/>
              </w:rPr>
              <w:t>in</w:t>
            </w:r>
            <w:r w:rsidRPr="00920053">
              <w:rPr>
                <w:rFonts w:ascii="Calibri" w:eastAsia="Times New Roman" w:hAnsi="Calibri" w:cs="Times New Roman"/>
                <w:b/>
                <w:iCs/>
                <w:color w:val="000000"/>
                <w:lang w:eastAsia="en-GB"/>
              </w:rPr>
              <w:t xml:space="preserve"> the past 12 months, with an 18% increase say</w:t>
            </w:r>
            <w:r>
              <w:rPr>
                <w:rFonts w:ascii="Calibri" w:eastAsia="Times New Roman" w:hAnsi="Calibri" w:cs="Times New Roman"/>
                <w:b/>
                <w:iCs/>
                <w:color w:val="000000"/>
                <w:lang w:eastAsia="en-GB"/>
              </w:rPr>
              <w:t xml:space="preserve">ing their </w:t>
            </w:r>
            <w:r w:rsidRPr="00920053">
              <w:rPr>
                <w:rFonts w:ascii="Calibri" w:eastAsia="Times New Roman" w:hAnsi="Calibri" w:cs="Times New Roman"/>
                <w:b/>
                <w:iCs/>
                <w:color w:val="000000"/>
                <w:lang w:eastAsia="en-GB"/>
              </w:rPr>
              <w:t>appraisal led to training/other CPD. Th</w:t>
            </w:r>
            <w:r>
              <w:rPr>
                <w:rFonts w:ascii="Calibri" w:eastAsia="Times New Roman" w:hAnsi="Calibri" w:cs="Times New Roman"/>
                <w:b/>
                <w:iCs/>
                <w:color w:val="000000"/>
                <w:lang w:eastAsia="en-GB"/>
              </w:rPr>
              <w:t>is latter</w:t>
            </w:r>
            <w:r w:rsidRPr="00920053">
              <w:rPr>
                <w:rFonts w:ascii="Calibri" w:eastAsia="Times New Roman" w:hAnsi="Calibri" w:cs="Times New Roman"/>
                <w:b/>
                <w:iCs/>
                <w:color w:val="000000"/>
                <w:lang w:eastAsia="en-GB"/>
              </w:rPr>
              <w:t xml:space="preserve"> data </w:t>
            </w:r>
            <w:r>
              <w:rPr>
                <w:rFonts w:ascii="Calibri" w:eastAsia="Times New Roman" w:hAnsi="Calibri" w:cs="Times New Roman"/>
                <w:b/>
                <w:iCs/>
                <w:color w:val="000000"/>
                <w:lang w:eastAsia="en-GB"/>
              </w:rPr>
              <w:t>may indicate r</w:t>
            </w:r>
            <w:r w:rsidRPr="00920053">
              <w:rPr>
                <w:rFonts w:ascii="Calibri" w:eastAsia="Times New Roman" w:hAnsi="Calibri" w:cs="Times New Roman"/>
                <w:b/>
                <w:iCs/>
                <w:color w:val="000000"/>
                <w:lang w:eastAsia="en-GB"/>
              </w:rPr>
              <w:t>eviewers (PIs</w:t>
            </w:r>
            <w:r>
              <w:rPr>
                <w:rFonts w:ascii="Calibri" w:eastAsia="Times New Roman" w:hAnsi="Calibri" w:cs="Times New Roman"/>
                <w:b/>
                <w:iCs/>
                <w:color w:val="000000"/>
                <w:lang w:eastAsia="en-GB"/>
              </w:rPr>
              <w:t>/line managers</w:t>
            </w:r>
            <w:r w:rsidRPr="00920053">
              <w:rPr>
                <w:rFonts w:ascii="Calibri" w:eastAsia="Times New Roman" w:hAnsi="Calibri" w:cs="Times New Roman"/>
                <w:b/>
                <w:iCs/>
                <w:color w:val="000000"/>
                <w:lang w:eastAsia="en-GB"/>
              </w:rPr>
              <w:t xml:space="preserve">) </w:t>
            </w:r>
            <w:r>
              <w:rPr>
                <w:rFonts w:ascii="Calibri" w:eastAsia="Times New Roman" w:hAnsi="Calibri" w:cs="Times New Roman"/>
                <w:b/>
                <w:iCs/>
                <w:color w:val="000000"/>
                <w:lang w:eastAsia="en-GB"/>
              </w:rPr>
              <w:t xml:space="preserve">being </w:t>
            </w:r>
            <w:r w:rsidRPr="00920053">
              <w:rPr>
                <w:rFonts w:ascii="Calibri" w:eastAsia="Times New Roman" w:hAnsi="Calibri" w:cs="Times New Roman"/>
                <w:b/>
                <w:iCs/>
                <w:color w:val="000000"/>
                <w:lang w:eastAsia="en-GB"/>
              </w:rPr>
              <w:t>more aw</w:t>
            </w:r>
            <w:r>
              <w:rPr>
                <w:rFonts w:ascii="Calibri" w:eastAsia="Times New Roman" w:hAnsi="Calibri" w:cs="Times New Roman"/>
                <w:b/>
                <w:iCs/>
                <w:color w:val="000000"/>
                <w:lang w:eastAsia="en-GB"/>
              </w:rPr>
              <w:t>a</w:t>
            </w:r>
            <w:r w:rsidRPr="00920053">
              <w:rPr>
                <w:rFonts w:ascii="Calibri" w:eastAsia="Times New Roman" w:hAnsi="Calibri" w:cs="Times New Roman"/>
                <w:b/>
                <w:iCs/>
                <w:color w:val="000000"/>
                <w:lang w:eastAsia="en-GB"/>
              </w:rPr>
              <w:t>re of training oppo</w:t>
            </w:r>
            <w:r>
              <w:rPr>
                <w:rFonts w:ascii="Calibri" w:eastAsia="Times New Roman" w:hAnsi="Calibri" w:cs="Times New Roman"/>
                <w:b/>
                <w:iCs/>
                <w:color w:val="000000"/>
                <w:lang w:eastAsia="en-GB"/>
              </w:rPr>
              <w:t>rtunities</w:t>
            </w:r>
            <w:r w:rsidRPr="00920053">
              <w:rPr>
                <w:rFonts w:ascii="Calibri" w:eastAsia="Times New Roman" w:hAnsi="Calibri" w:cs="Times New Roman"/>
                <w:b/>
                <w:iCs/>
                <w:color w:val="000000"/>
                <w:lang w:eastAsia="en-GB"/>
              </w:rPr>
              <w:t xml:space="preserve"> for </w:t>
            </w:r>
            <w:r>
              <w:rPr>
                <w:rFonts w:ascii="Calibri" w:eastAsia="Times New Roman" w:hAnsi="Calibri" w:cs="Times New Roman"/>
                <w:b/>
                <w:iCs/>
                <w:color w:val="000000"/>
                <w:lang w:eastAsia="en-GB"/>
              </w:rPr>
              <w:t>re</w:t>
            </w:r>
            <w:r w:rsidRPr="00920053">
              <w:rPr>
                <w:rFonts w:ascii="Calibri" w:eastAsia="Times New Roman" w:hAnsi="Calibri" w:cs="Times New Roman"/>
                <w:b/>
                <w:iCs/>
                <w:color w:val="000000"/>
                <w:lang w:eastAsia="en-GB"/>
              </w:rPr>
              <w:t xml:space="preserve">search staff, and encouraging staff to participate. </w:t>
            </w:r>
            <w:r>
              <w:rPr>
                <w:rFonts w:ascii="Calibri" w:eastAsia="Times New Roman" w:hAnsi="Calibri" w:cs="Times New Roman"/>
                <w:b/>
                <w:iCs/>
                <w:color w:val="000000"/>
                <w:lang w:eastAsia="en-GB"/>
              </w:rPr>
              <w:t xml:space="preserve">Furthermore, there was an increase in the number of respondents maintaining a formal record of CPD activities (up by 4% from 2013 to 2015). Nevertheless, despite these encouraging improvements from 2013 to 2015, there is still more work to be done to increase the numbers of research staff undertaking an annual appraisal (58% of respondents to 2015 CROS said they had completed an appraisal in the past 12 months). </w:t>
            </w:r>
          </w:p>
          <w:p w:rsidR="00EF336A" w:rsidRDefault="00EF336A" w:rsidP="00F74A92">
            <w:r>
              <w:t xml:space="preserve">3.8 See 3.1 above. </w:t>
            </w:r>
            <w:r w:rsidR="00CD35F1">
              <w:t xml:space="preserve">Feedback collected </w:t>
            </w:r>
            <w:r>
              <w:t>f</w:t>
            </w:r>
            <w:r w:rsidR="007C1C77">
              <w:t>rom</w:t>
            </w:r>
            <w:r>
              <w:t xml:space="preserve"> The University’s </w:t>
            </w:r>
            <w:r w:rsidR="00CD35F1">
              <w:t>research</w:t>
            </w:r>
            <w:r w:rsidR="007C1C77">
              <w:t xml:space="preserve"> staff identifies an issue with PI/line manager support for their research staff to undertake development opportunities outside the remit of their dir</w:t>
            </w:r>
            <w:r w:rsidR="00B97E5F">
              <w:t xml:space="preserve">ect work. However, the University has implemented an updated (April 2015) </w:t>
            </w:r>
            <w:hyperlink r:id="rId17" w:history="1">
              <w:r w:rsidR="00B97E5F" w:rsidRPr="00B97E5F">
                <w:rPr>
                  <w:rStyle w:val="Hyperlink"/>
                </w:rPr>
                <w:t>Right to Request Training policy</w:t>
              </w:r>
            </w:hyperlink>
            <w:r w:rsidR="00B97E5F">
              <w:t xml:space="preserve">: although The University’s commitment to the </w:t>
            </w:r>
            <w:r w:rsidR="00A03EE6">
              <w:t xml:space="preserve">development of staff </w:t>
            </w:r>
            <w:r w:rsidR="00B97E5F">
              <w:t>to enhance job and career aspi</w:t>
            </w:r>
            <w:r w:rsidR="00A03EE6">
              <w:t xml:space="preserve">rations </w:t>
            </w:r>
            <w:r w:rsidR="00B97E5F">
              <w:t>of indiv</w:t>
            </w:r>
            <w:r w:rsidR="00A03EE6">
              <w:t>idu</w:t>
            </w:r>
            <w:r w:rsidR="00B97E5F">
              <w:t xml:space="preserve">al staff </w:t>
            </w:r>
            <w:r w:rsidR="00A03EE6">
              <w:t>members</w:t>
            </w:r>
            <w:r w:rsidR="00B97E5F">
              <w:t xml:space="preserve">, is set out in The previously mentioned Staff Training and </w:t>
            </w:r>
            <w:r w:rsidR="00A03EE6">
              <w:t>Development</w:t>
            </w:r>
            <w:r w:rsidR="00B97E5F">
              <w:t xml:space="preserve"> </w:t>
            </w:r>
            <w:r w:rsidR="00A03EE6">
              <w:t>Policy</w:t>
            </w:r>
            <w:r w:rsidR="00B97E5F">
              <w:t xml:space="preserve">, which provides </w:t>
            </w:r>
            <w:r w:rsidR="00A03EE6">
              <w:t>sufficient</w:t>
            </w:r>
            <w:r w:rsidR="00B97E5F">
              <w:t xml:space="preserve"> scope to address all training </w:t>
            </w:r>
            <w:r w:rsidR="00E0404E">
              <w:t>and</w:t>
            </w:r>
            <w:r w:rsidR="00B97E5F">
              <w:t xml:space="preserve"> </w:t>
            </w:r>
            <w:r w:rsidR="00A03EE6">
              <w:t>development</w:t>
            </w:r>
            <w:r w:rsidR="00B97E5F">
              <w:t xml:space="preserve"> needs of staff </w:t>
            </w:r>
            <w:r w:rsidR="00A03EE6">
              <w:t>within</w:t>
            </w:r>
            <w:r w:rsidR="00B97E5F">
              <w:t xml:space="preserve"> </w:t>
            </w:r>
            <w:r w:rsidR="00A03EE6">
              <w:t>The</w:t>
            </w:r>
            <w:r w:rsidR="00B97E5F">
              <w:t xml:space="preserve"> </w:t>
            </w:r>
            <w:r w:rsidR="00A03EE6">
              <w:t>University</w:t>
            </w:r>
            <w:r w:rsidR="00B97E5F">
              <w:t xml:space="preserve"> </w:t>
            </w:r>
            <w:r w:rsidR="00A03EE6">
              <w:t>without</w:t>
            </w:r>
            <w:r w:rsidR="00B97E5F">
              <w:t xml:space="preserve"> the need for staff to </w:t>
            </w:r>
            <w:r w:rsidR="00A03EE6">
              <w:t>rely</w:t>
            </w:r>
            <w:r w:rsidR="00B97E5F">
              <w:t xml:space="preserve"> on the </w:t>
            </w:r>
            <w:r w:rsidR="00A03EE6">
              <w:t>procedure</w:t>
            </w:r>
            <w:r w:rsidR="00B97E5F">
              <w:t xml:space="preserve"> </w:t>
            </w:r>
            <w:r w:rsidR="00A03EE6">
              <w:t>set</w:t>
            </w:r>
            <w:r w:rsidR="00B97E5F">
              <w:t xml:space="preserve"> out in the Right to </w:t>
            </w:r>
            <w:r w:rsidR="00A03EE6">
              <w:t>Request T</w:t>
            </w:r>
            <w:r w:rsidR="00B97E5F">
              <w:t xml:space="preserve">raining policy, under s.63D of The Employment Rights Act 1996, employers have a statutory right to make a request in </w:t>
            </w:r>
            <w:r w:rsidR="00A03EE6">
              <w:t>relation</w:t>
            </w:r>
            <w:r w:rsidR="00B97E5F">
              <w:t xml:space="preserve"> to study or training and to have the request considered. The new Universe policy sets out the proc</w:t>
            </w:r>
            <w:r w:rsidR="00A03EE6">
              <w:t>ed</w:t>
            </w:r>
            <w:r w:rsidR="00B97E5F">
              <w:t xml:space="preserve">ures to be followed in the event of an employee making such a request. This policy requires </w:t>
            </w:r>
            <w:r w:rsidR="00A03EE6">
              <w:t>promoting</w:t>
            </w:r>
            <w:r w:rsidR="00B97E5F">
              <w:t xml:space="preserve"> amongst b</w:t>
            </w:r>
            <w:r w:rsidR="00A03EE6">
              <w:t>oth PIs/</w:t>
            </w:r>
            <w:r w:rsidR="00B97E5F">
              <w:t xml:space="preserve">line mangers and </w:t>
            </w:r>
            <w:r w:rsidR="00A03EE6">
              <w:t>research</w:t>
            </w:r>
            <w:r w:rsidR="00B97E5F">
              <w:t xml:space="preserve"> staff. </w:t>
            </w:r>
          </w:p>
          <w:p w:rsidR="007C1C77" w:rsidRDefault="007C1C77" w:rsidP="00F74A92">
            <w:r>
              <w:t>3.9 Mobility to enhance experience and employability is encouraged for all research staff at The University. However, more work needs to be done to support this action</w:t>
            </w:r>
            <w:r w:rsidR="00FD2237">
              <w:t xml:space="preserve">. </w:t>
            </w:r>
            <w:r>
              <w:t>One suggestion collected f</w:t>
            </w:r>
            <w:r w:rsidR="00FD2237">
              <w:t>rom</w:t>
            </w:r>
            <w:r>
              <w:t xml:space="preserve"> research staff via a Research Staff Fora is that the University </w:t>
            </w:r>
            <w:r w:rsidR="00FD2237">
              <w:t xml:space="preserve">develops schemes where travel can be financially supported to make placements possible. </w:t>
            </w:r>
          </w:p>
          <w:p w:rsidR="00A34ADB" w:rsidRDefault="00A34ADB" w:rsidP="00F74A92"/>
          <w:p w:rsidR="00F74A92" w:rsidRPr="00E75C4E" w:rsidRDefault="00FD2237" w:rsidP="00A34ADB">
            <w:pPr>
              <w:rPr>
                <w:b/>
              </w:rPr>
            </w:pPr>
            <w:r>
              <w:t xml:space="preserve">3.10 See </w:t>
            </w:r>
            <w:r w:rsidR="001C4A47">
              <w:t xml:space="preserve">3.2 </w:t>
            </w:r>
            <w:r w:rsidR="0079799D">
              <w:t>above</w:t>
            </w:r>
          </w:p>
        </w:tc>
      </w:tr>
    </w:tbl>
    <w:p w:rsidR="00E60FFD" w:rsidRDefault="00E60FFD" w:rsidP="00E60FFD">
      <w:pPr>
        <w:rPr>
          <w:b/>
        </w:rPr>
      </w:pPr>
    </w:p>
    <w:tbl>
      <w:tblPr>
        <w:tblW w:w="1395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10410"/>
      </w:tblGrid>
      <w:tr w:rsidR="0079799D" w:rsidTr="0079799D">
        <w:trPr>
          <w:trHeight w:val="403"/>
        </w:trPr>
        <w:tc>
          <w:tcPr>
            <w:tcW w:w="13950" w:type="dxa"/>
            <w:gridSpan w:val="2"/>
          </w:tcPr>
          <w:p w:rsidR="0079799D" w:rsidRPr="00E60FFD" w:rsidRDefault="00255E4B" w:rsidP="00D6615E">
            <w:pPr>
              <w:pStyle w:val="ListParagraph"/>
              <w:numPr>
                <w:ilvl w:val="0"/>
                <w:numId w:val="2"/>
              </w:numPr>
              <w:spacing w:after="0"/>
            </w:pPr>
            <w:r w:rsidRPr="00D6615E">
              <w:rPr>
                <w:b/>
              </w:rPr>
              <w:t>Researchers’ Responsibilities (</w:t>
            </w:r>
            <w:r w:rsidR="0079799D" w:rsidRPr="00D6615E">
              <w:rPr>
                <w:b/>
              </w:rPr>
              <w:t>Concordat Principle</w:t>
            </w:r>
            <w:r w:rsidRPr="00D6615E">
              <w:rPr>
                <w:b/>
              </w:rPr>
              <w:t>s 4 &amp; 5)</w:t>
            </w:r>
          </w:p>
        </w:tc>
      </w:tr>
      <w:tr w:rsidR="0079799D" w:rsidTr="004F6813">
        <w:trPr>
          <w:trHeight w:val="576"/>
        </w:trPr>
        <w:tc>
          <w:tcPr>
            <w:tcW w:w="3540" w:type="dxa"/>
          </w:tcPr>
          <w:p w:rsidR="0079799D" w:rsidRDefault="0079799D" w:rsidP="0079799D">
            <w:pPr>
              <w:rPr>
                <w:b/>
              </w:rPr>
            </w:pPr>
            <w:r>
              <w:rPr>
                <w:b/>
              </w:rPr>
              <w:t>Objectives</w:t>
            </w:r>
          </w:p>
        </w:tc>
        <w:tc>
          <w:tcPr>
            <w:tcW w:w="10410" w:type="dxa"/>
          </w:tcPr>
          <w:p w:rsidR="0079799D" w:rsidRDefault="0079799D" w:rsidP="0079799D">
            <w:pPr>
              <w:rPr>
                <w:b/>
              </w:rPr>
            </w:pPr>
            <w:r>
              <w:rPr>
                <w:b/>
              </w:rPr>
              <w:t>Progress and Success measures</w:t>
            </w:r>
          </w:p>
        </w:tc>
      </w:tr>
      <w:tr w:rsidR="0079799D" w:rsidTr="00BA6EF2">
        <w:trPr>
          <w:trHeight w:val="9211"/>
        </w:trPr>
        <w:tc>
          <w:tcPr>
            <w:tcW w:w="3540" w:type="dxa"/>
          </w:tcPr>
          <w:p w:rsidR="0079799D" w:rsidRDefault="006964BB" w:rsidP="006964BB">
            <w:pPr>
              <w:pStyle w:val="ListParagraph"/>
              <w:numPr>
                <w:ilvl w:val="1"/>
                <w:numId w:val="5"/>
              </w:numPr>
            </w:pPr>
            <w:r>
              <w:lastRenderedPageBreak/>
              <w:t>Academics and The University’s Research Staff Development Working Group to champion and promote awareness of the Principles of The Concordat, The University Concordat Implementation Plan and to promote a culture of shared responsibility amongst researchers and PIs locally</w:t>
            </w:r>
          </w:p>
          <w:p w:rsidR="00A34ADB" w:rsidRDefault="00A34ADB" w:rsidP="00A34ADB">
            <w:pPr>
              <w:pStyle w:val="ListParagraph"/>
              <w:ind w:left="360"/>
            </w:pPr>
          </w:p>
          <w:p w:rsidR="00A34ADB" w:rsidRDefault="006964BB" w:rsidP="00A34ADB">
            <w:pPr>
              <w:pStyle w:val="ListParagraph"/>
              <w:numPr>
                <w:ilvl w:val="1"/>
                <w:numId w:val="5"/>
              </w:numPr>
            </w:pPr>
            <w:r>
              <w:t>Researchers to accept responsibility for (i) their own career development and trajectory and (ii) engaging in professional and career development training opportunity offered locally and centrally by The University</w:t>
            </w:r>
          </w:p>
          <w:p w:rsidR="00A34ADB" w:rsidRDefault="00A34ADB" w:rsidP="00A34ADB">
            <w:pPr>
              <w:pStyle w:val="ListParagraph"/>
            </w:pPr>
          </w:p>
          <w:p w:rsidR="00A34ADB" w:rsidRDefault="00A34ADB" w:rsidP="00A34ADB">
            <w:pPr>
              <w:pStyle w:val="ListParagraph"/>
              <w:ind w:left="360"/>
            </w:pPr>
          </w:p>
          <w:p w:rsidR="0079799D" w:rsidRPr="00E60FFD" w:rsidRDefault="006964BB" w:rsidP="00150DCD">
            <w:pPr>
              <w:pStyle w:val="ListParagraph"/>
              <w:numPr>
                <w:ilvl w:val="1"/>
                <w:numId w:val="5"/>
              </w:numPr>
            </w:pPr>
            <w:r>
              <w:t xml:space="preserve"> &amp; 4.4 Sensitise PIs/line </w:t>
            </w:r>
            <w:r w:rsidR="004C4550">
              <w:t>m</w:t>
            </w:r>
            <w:r>
              <w:t>anagers to new responsibilities as a result of policy changes at institutional and national levels via researcher development champions and the RSDWG and PIs to support/facilitate professional and career development culture amongst research staff as promoted by The Concordat</w:t>
            </w:r>
          </w:p>
        </w:tc>
        <w:tc>
          <w:tcPr>
            <w:tcW w:w="10410" w:type="dxa"/>
          </w:tcPr>
          <w:p w:rsidR="0079799D" w:rsidRDefault="006964BB" w:rsidP="0079799D">
            <w:r>
              <w:t xml:space="preserve">4.1 It is clear from CROS 2015 data that relatively few numbers of research staff are aware of either the work of The Research Staff Development Working Group (RSDWG) – despite research staff representation </w:t>
            </w:r>
            <w:r w:rsidR="0039528C">
              <w:t>on the</w:t>
            </w:r>
            <w:r>
              <w:t xml:space="preserve"> Group – </w:t>
            </w:r>
            <w:r w:rsidR="0039528C">
              <w:t xml:space="preserve">nor </w:t>
            </w:r>
            <w:r>
              <w:t xml:space="preserve">The Concordat or The University’s Concordat Implementation Plan (CIP). </w:t>
            </w:r>
            <w:r w:rsidR="006743C6">
              <w:t>Clearly, m</w:t>
            </w:r>
            <w:r>
              <w:t>ore work is needed to promote awareness of the RSDWG and The University</w:t>
            </w:r>
            <w:r w:rsidR="0039528C">
              <w:t>’s</w:t>
            </w:r>
            <w:r>
              <w:t xml:space="preserve"> CIP.  </w:t>
            </w:r>
            <w:r w:rsidR="0079799D">
              <w:t xml:space="preserve"> </w:t>
            </w:r>
            <w:r w:rsidR="003A766D">
              <w:t xml:space="preserve">The CIP and The University’s commitment to The Concordat to Support The Career Development of Research Staff are better known amongst management and, indeed, an explicit commitment to adopting the Principles of The Concordat is found in The University’s high level </w:t>
            </w:r>
            <w:hyperlink r:id="rId18" w:history="1">
              <w:r w:rsidR="003A766D" w:rsidRPr="003A766D">
                <w:rPr>
                  <w:rStyle w:val="Hyperlink"/>
                </w:rPr>
                <w:t>Research Strategy</w:t>
              </w:r>
            </w:hyperlink>
            <w:r w:rsidR="003A766D">
              <w:t>. The work to promote awareness of the CIP and The Concordat amongst research staff will require the development of a Communications Strategy, and will involve the research staff rep networks in place, or being built, to disseminate information more effectively.</w:t>
            </w:r>
          </w:p>
          <w:p w:rsidR="00A34ADB" w:rsidRDefault="00A34ADB" w:rsidP="0079799D">
            <w:pPr>
              <w:rPr>
                <w:rFonts w:ascii="Calibri" w:eastAsia="Times New Roman" w:hAnsi="Calibri" w:cs="Times New Roman"/>
                <w:iCs/>
                <w:color w:val="000000"/>
                <w:lang w:eastAsia="en-GB"/>
              </w:rPr>
            </w:pPr>
          </w:p>
          <w:p w:rsidR="0079799D" w:rsidRDefault="003A766D"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4.2 </w:t>
            </w:r>
            <w:r w:rsidR="004C4550">
              <w:rPr>
                <w:rFonts w:ascii="Calibri" w:eastAsia="Times New Roman" w:hAnsi="Calibri" w:cs="Times New Roman"/>
                <w:iCs/>
                <w:color w:val="000000"/>
                <w:lang w:eastAsia="en-GB"/>
              </w:rPr>
              <w:t xml:space="preserve">See </w:t>
            </w:r>
            <w:r w:rsidR="0039528C">
              <w:rPr>
                <w:rFonts w:ascii="Calibri" w:eastAsia="Times New Roman" w:hAnsi="Calibri" w:cs="Times New Roman"/>
                <w:iCs/>
                <w:color w:val="000000"/>
                <w:lang w:eastAsia="en-GB"/>
              </w:rPr>
              <w:t>3.2</w:t>
            </w:r>
            <w:r w:rsidR="004C4550">
              <w:rPr>
                <w:rFonts w:ascii="Calibri" w:eastAsia="Times New Roman" w:hAnsi="Calibri" w:cs="Times New Roman"/>
                <w:iCs/>
                <w:color w:val="000000"/>
                <w:lang w:eastAsia="en-GB"/>
              </w:rPr>
              <w:t xml:space="preserve"> above.</w:t>
            </w:r>
          </w:p>
          <w:p w:rsidR="00A34ADB" w:rsidRDefault="00A34ADB" w:rsidP="0079799D">
            <w:pPr>
              <w:rPr>
                <w:rFonts w:ascii="Calibri" w:eastAsia="Times New Roman" w:hAnsi="Calibri" w:cs="Times New Roman"/>
                <w:iCs/>
                <w:color w:val="000000"/>
                <w:lang w:eastAsia="en-GB"/>
              </w:rPr>
            </w:pPr>
          </w:p>
          <w:p w:rsidR="00A34ADB" w:rsidRDefault="00A34ADB" w:rsidP="0079799D">
            <w:pPr>
              <w:rPr>
                <w:rFonts w:ascii="Calibri" w:eastAsia="Times New Roman" w:hAnsi="Calibri" w:cs="Times New Roman"/>
                <w:iCs/>
                <w:color w:val="000000"/>
                <w:lang w:eastAsia="en-GB"/>
              </w:rPr>
            </w:pPr>
          </w:p>
          <w:p w:rsidR="00A34ADB" w:rsidRDefault="00A34ADB" w:rsidP="0079799D">
            <w:pPr>
              <w:rPr>
                <w:rFonts w:ascii="Calibri" w:eastAsia="Times New Roman" w:hAnsi="Calibri" w:cs="Times New Roman"/>
                <w:iCs/>
                <w:color w:val="000000"/>
                <w:lang w:eastAsia="en-GB"/>
              </w:rPr>
            </w:pPr>
          </w:p>
          <w:p w:rsidR="00A34ADB" w:rsidRDefault="00A34ADB" w:rsidP="0079799D">
            <w:pPr>
              <w:rPr>
                <w:rFonts w:ascii="Calibri" w:eastAsia="Times New Roman" w:hAnsi="Calibri" w:cs="Times New Roman"/>
                <w:iCs/>
                <w:color w:val="000000"/>
                <w:lang w:eastAsia="en-GB"/>
              </w:rPr>
            </w:pPr>
          </w:p>
          <w:p w:rsidR="00942E9F" w:rsidRDefault="00942E9F" w:rsidP="0079799D">
            <w:pPr>
              <w:rPr>
                <w:rFonts w:ascii="Calibri" w:eastAsia="Times New Roman" w:hAnsi="Calibri" w:cs="Times New Roman"/>
                <w:iCs/>
                <w:color w:val="000000"/>
                <w:lang w:eastAsia="en-GB"/>
              </w:rPr>
            </w:pPr>
          </w:p>
          <w:p w:rsidR="004C4550" w:rsidRDefault="004C4550"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4.3 </w:t>
            </w:r>
            <w:r w:rsidR="00150DCD">
              <w:rPr>
                <w:rFonts w:ascii="Calibri" w:eastAsia="Times New Roman" w:hAnsi="Calibri" w:cs="Times New Roman"/>
                <w:iCs/>
                <w:color w:val="000000"/>
                <w:lang w:eastAsia="en-GB"/>
              </w:rPr>
              <w:t xml:space="preserve">&amp; 4.4 </w:t>
            </w:r>
            <w:r>
              <w:rPr>
                <w:rFonts w:ascii="Calibri" w:eastAsia="Times New Roman" w:hAnsi="Calibri" w:cs="Times New Roman"/>
                <w:iCs/>
                <w:color w:val="000000"/>
                <w:lang w:eastAsia="en-GB"/>
              </w:rPr>
              <w:t>Policy changes</w:t>
            </w:r>
            <w:r w:rsidR="0039528C">
              <w:rPr>
                <w:rFonts w:ascii="Calibri" w:eastAsia="Times New Roman" w:hAnsi="Calibri" w:cs="Times New Roman"/>
                <w:iCs/>
                <w:color w:val="000000"/>
                <w:lang w:eastAsia="en-GB"/>
              </w:rPr>
              <w:t xml:space="preserve">, responsibilities and University </w:t>
            </w:r>
            <w:r>
              <w:rPr>
                <w:rFonts w:ascii="Calibri" w:eastAsia="Times New Roman" w:hAnsi="Calibri" w:cs="Times New Roman"/>
                <w:iCs/>
                <w:color w:val="000000"/>
                <w:lang w:eastAsia="en-GB"/>
              </w:rPr>
              <w:t>expectations of PI/line managers of research staff are included in Faculty New Academics Programmes (completion of which is mandatory to complete probation</w:t>
            </w:r>
            <w:r w:rsidR="0039528C">
              <w:rPr>
                <w:rFonts w:ascii="Calibri" w:eastAsia="Times New Roman" w:hAnsi="Calibri" w:cs="Times New Roman"/>
                <w:iCs/>
                <w:color w:val="000000"/>
                <w:lang w:eastAsia="en-GB"/>
              </w:rPr>
              <w:t xml:space="preserve"> for all new academics</w:t>
            </w:r>
            <w:r>
              <w:rPr>
                <w:rFonts w:ascii="Calibri" w:eastAsia="Times New Roman" w:hAnsi="Calibri" w:cs="Times New Roman"/>
                <w:iCs/>
                <w:color w:val="000000"/>
                <w:lang w:eastAsia="en-GB"/>
              </w:rPr>
              <w:t xml:space="preserve">) and the new lunchtime Master class session for more senior academics. </w:t>
            </w:r>
            <w:r w:rsidR="00045A2E">
              <w:rPr>
                <w:rFonts w:ascii="Calibri" w:eastAsia="Times New Roman" w:hAnsi="Calibri" w:cs="Times New Roman"/>
                <w:iCs/>
                <w:color w:val="000000"/>
                <w:lang w:eastAsia="en-GB"/>
              </w:rPr>
              <w:t xml:space="preserve">Furthermore, training of reviewers for the new invigorated and online PDR system to be launched across The University in a staged released in 2016, will include </w:t>
            </w:r>
            <w:r w:rsidR="00595748">
              <w:rPr>
                <w:rFonts w:ascii="Calibri" w:eastAsia="Times New Roman" w:hAnsi="Calibri" w:cs="Times New Roman"/>
                <w:iCs/>
                <w:color w:val="000000"/>
                <w:lang w:eastAsia="en-GB"/>
              </w:rPr>
              <w:t>an awareness/</w:t>
            </w:r>
            <w:r w:rsidR="00045A2E">
              <w:rPr>
                <w:rFonts w:ascii="Calibri" w:eastAsia="Times New Roman" w:hAnsi="Calibri" w:cs="Times New Roman"/>
                <w:iCs/>
                <w:color w:val="000000"/>
                <w:lang w:eastAsia="en-GB"/>
              </w:rPr>
              <w:t xml:space="preserve"> </w:t>
            </w:r>
            <w:r w:rsidR="00595748">
              <w:rPr>
                <w:rFonts w:ascii="Calibri" w:eastAsia="Times New Roman" w:hAnsi="Calibri" w:cs="Times New Roman"/>
                <w:iCs/>
                <w:color w:val="000000"/>
                <w:lang w:eastAsia="en-GB"/>
              </w:rPr>
              <w:t xml:space="preserve">expectations module for </w:t>
            </w:r>
            <w:r w:rsidR="00045A2E">
              <w:rPr>
                <w:rFonts w:ascii="Calibri" w:eastAsia="Times New Roman" w:hAnsi="Calibri" w:cs="Times New Roman"/>
                <w:iCs/>
                <w:color w:val="000000"/>
                <w:lang w:eastAsia="en-GB"/>
              </w:rPr>
              <w:t xml:space="preserve">PIs/line managers </w:t>
            </w:r>
            <w:r w:rsidR="00595748">
              <w:rPr>
                <w:rFonts w:ascii="Calibri" w:eastAsia="Times New Roman" w:hAnsi="Calibri" w:cs="Times New Roman"/>
                <w:iCs/>
                <w:color w:val="000000"/>
                <w:lang w:eastAsia="en-GB"/>
              </w:rPr>
              <w:t xml:space="preserve">re researcher development for research staff. </w:t>
            </w:r>
            <w:r w:rsidR="00045A2E">
              <w:rPr>
                <w:rFonts w:ascii="Calibri" w:eastAsia="Times New Roman" w:hAnsi="Calibri" w:cs="Times New Roman"/>
                <w:iCs/>
                <w:color w:val="000000"/>
                <w:lang w:eastAsia="en-GB"/>
              </w:rPr>
              <w:t xml:space="preserve"> </w:t>
            </w:r>
            <w:r>
              <w:rPr>
                <w:rFonts w:ascii="Calibri" w:eastAsia="Times New Roman" w:hAnsi="Calibri" w:cs="Times New Roman"/>
                <w:iCs/>
                <w:color w:val="000000"/>
                <w:lang w:eastAsia="en-GB"/>
              </w:rPr>
              <w:t xml:space="preserve"> </w:t>
            </w:r>
            <w:r w:rsidR="00595748">
              <w:rPr>
                <w:rFonts w:ascii="Calibri" w:eastAsia="Times New Roman" w:hAnsi="Calibri" w:cs="Times New Roman"/>
                <w:iCs/>
                <w:color w:val="000000"/>
                <w:lang w:eastAsia="en-GB"/>
              </w:rPr>
              <w:t xml:space="preserve">Although CROS 215 data shows a notable 13% rise in the number of respondents participating in a PDR compared to 2013 data, </w:t>
            </w:r>
            <w:r w:rsidR="0039528C">
              <w:rPr>
                <w:rFonts w:ascii="Calibri" w:eastAsia="Times New Roman" w:hAnsi="Calibri" w:cs="Times New Roman"/>
                <w:iCs/>
                <w:color w:val="000000"/>
                <w:lang w:eastAsia="en-GB"/>
              </w:rPr>
              <w:t>only 58% of respondents had taken part in a PDR in the past 12 months.</w:t>
            </w:r>
            <w:r w:rsidR="00595748">
              <w:rPr>
                <w:rFonts w:ascii="Calibri" w:eastAsia="Times New Roman" w:hAnsi="Calibri" w:cs="Times New Roman"/>
                <w:iCs/>
                <w:color w:val="000000"/>
                <w:lang w:eastAsia="en-GB"/>
              </w:rPr>
              <w:t xml:space="preserve"> The University plans to re-invigorate the PDR system </w:t>
            </w:r>
            <w:r w:rsidR="0039528C">
              <w:rPr>
                <w:rFonts w:ascii="Calibri" w:eastAsia="Times New Roman" w:hAnsi="Calibri" w:cs="Times New Roman"/>
                <w:iCs/>
                <w:color w:val="000000"/>
                <w:lang w:eastAsia="en-GB"/>
              </w:rPr>
              <w:t xml:space="preserve">and is thus </w:t>
            </w:r>
            <w:r w:rsidR="00595748">
              <w:rPr>
                <w:rFonts w:ascii="Calibri" w:eastAsia="Times New Roman" w:hAnsi="Calibri" w:cs="Times New Roman"/>
                <w:iCs/>
                <w:color w:val="000000"/>
                <w:lang w:eastAsia="en-GB"/>
              </w:rPr>
              <w:t>a target vehicle for raising awareness amongst PIs/line managers of the expectations re researcher development, and how a PDR c</w:t>
            </w:r>
            <w:r w:rsidR="0039528C">
              <w:rPr>
                <w:rFonts w:ascii="Calibri" w:eastAsia="Times New Roman" w:hAnsi="Calibri" w:cs="Times New Roman"/>
                <w:iCs/>
                <w:color w:val="000000"/>
                <w:lang w:eastAsia="en-GB"/>
              </w:rPr>
              <w:t xml:space="preserve">an be an effective vehicle to support the career development of research staff. </w:t>
            </w:r>
          </w:p>
          <w:p w:rsidR="00A34ADB" w:rsidRPr="00E60FFD" w:rsidRDefault="004C4550" w:rsidP="00A34ADB">
            <w:r w:rsidRPr="004C4550">
              <w:rPr>
                <w:rFonts w:ascii="Calibri" w:eastAsia="Times New Roman" w:hAnsi="Calibri" w:cs="Times New Roman"/>
                <w:b/>
                <w:iCs/>
                <w:color w:val="000000"/>
                <w:u w:val="single"/>
                <w:lang w:eastAsia="en-GB"/>
              </w:rPr>
              <w:t>CROS 2015 supporting evidence</w:t>
            </w:r>
            <w:r>
              <w:rPr>
                <w:rFonts w:ascii="Calibri" w:eastAsia="Times New Roman" w:hAnsi="Calibri" w:cs="Times New Roman"/>
                <w:iCs/>
                <w:color w:val="000000"/>
                <w:lang w:eastAsia="en-GB"/>
              </w:rPr>
              <w:t xml:space="preserve">: </w:t>
            </w:r>
            <w:r w:rsidR="00595748" w:rsidRPr="0039528C">
              <w:rPr>
                <w:rFonts w:ascii="Calibri" w:eastAsia="Times New Roman" w:hAnsi="Calibri" w:cs="Times New Roman"/>
                <w:b/>
                <w:iCs/>
                <w:color w:val="000000"/>
                <w:lang w:eastAsia="en-GB"/>
              </w:rPr>
              <w:t>S</w:t>
            </w:r>
            <w:r w:rsidRPr="0039528C">
              <w:rPr>
                <w:rFonts w:ascii="Calibri" w:eastAsia="Times New Roman" w:hAnsi="Calibri" w:cs="Times New Roman"/>
                <w:b/>
                <w:iCs/>
                <w:color w:val="000000"/>
                <w:lang w:eastAsia="en-GB"/>
              </w:rPr>
              <w:t xml:space="preserve">eventy-two percent of respondents to CROS 2015 agreed that they had been </w:t>
            </w:r>
            <w:r w:rsidRPr="0039528C">
              <w:rPr>
                <w:rFonts w:ascii="Calibri" w:eastAsia="Times New Roman" w:hAnsi="Calibri" w:cs="Times New Roman"/>
                <w:b/>
                <w:iCs/>
                <w:color w:val="000000"/>
                <w:lang w:eastAsia="en-GB"/>
              </w:rPr>
              <w:lastRenderedPageBreak/>
              <w:t>encouraged to engage in personal and career development. The University wishes to increase this to 90% by 2017.</w:t>
            </w:r>
            <w:r>
              <w:rPr>
                <w:rFonts w:ascii="Calibri" w:eastAsia="Times New Roman" w:hAnsi="Calibri" w:cs="Times New Roman"/>
                <w:iCs/>
                <w:color w:val="000000"/>
                <w:lang w:eastAsia="en-GB"/>
              </w:rPr>
              <w:t xml:space="preserve"> </w:t>
            </w:r>
          </w:p>
        </w:tc>
      </w:tr>
      <w:tr w:rsidR="0079799D" w:rsidTr="0079799D">
        <w:trPr>
          <w:trHeight w:val="403"/>
        </w:trPr>
        <w:tc>
          <w:tcPr>
            <w:tcW w:w="13950" w:type="dxa"/>
            <w:gridSpan w:val="2"/>
          </w:tcPr>
          <w:p w:rsidR="0079799D" w:rsidRPr="00E60FFD" w:rsidRDefault="00255E4B" w:rsidP="00D6615E">
            <w:pPr>
              <w:pStyle w:val="ListParagraph"/>
              <w:numPr>
                <w:ilvl w:val="0"/>
                <w:numId w:val="2"/>
              </w:numPr>
              <w:spacing w:after="0"/>
            </w:pPr>
            <w:r w:rsidRPr="00D6615E">
              <w:rPr>
                <w:b/>
              </w:rPr>
              <w:lastRenderedPageBreak/>
              <w:t>Equality &amp; Diversity (</w:t>
            </w:r>
            <w:r w:rsidR="0079799D" w:rsidRPr="00D6615E">
              <w:rPr>
                <w:b/>
              </w:rPr>
              <w:t>Concordat Principle</w:t>
            </w:r>
            <w:r w:rsidRPr="00D6615E">
              <w:rPr>
                <w:b/>
              </w:rPr>
              <w:t>s 2,3,6)</w:t>
            </w:r>
            <w:r w:rsidR="0079799D">
              <w:t xml:space="preserve"> </w:t>
            </w:r>
          </w:p>
        </w:tc>
      </w:tr>
      <w:tr w:rsidR="0079799D" w:rsidTr="0079799D">
        <w:trPr>
          <w:trHeight w:val="422"/>
        </w:trPr>
        <w:tc>
          <w:tcPr>
            <w:tcW w:w="3540" w:type="dxa"/>
          </w:tcPr>
          <w:p w:rsidR="0079799D" w:rsidRDefault="0079799D" w:rsidP="0079799D">
            <w:pPr>
              <w:rPr>
                <w:b/>
              </w:rPr>
            </w:pPr>
            <w:r>
              <w:rPr>
                <w:b/>
              </w:rPr>
              <w:t>Objectives</w:t>
            </w:r>
          </w:p>
        </w:tc>
        <w:tc>
          <w:tcPr>
            <w:tcW w:w="10410" w:type="dxa"/>
          </w:tcPr>
          <w:p w:rsidR="0079799D" w:rsidRDefault="0079799D" w:rsidP="0079799D">
            <w:pPr>
              <w:rPr>
                <w:b/>
              </w:rPr>
            </w:pPr>
            <w:r>
              <w:rPr>
                <w:b/>
              </w:rPr>
              <w:t>Progress and success measures</w:t>
            </w:r>
          </w:p>
        </w:tc>
      </w:tr>
      <w:tr w:rsidR="0079799D" w:rsidTr="00255E4B">
        <w:trPr>
          <w:trHeight w:val="70"/>
        </w:trPr>
        <w:tc>
          <w:tcPr>
            <w:tcW w:w="3540" w:type="dxa"/>
            <w:vMerge w:val="restart"/>
          </w:tcPr>
          <w:p w:rsidR="0079799D" w:rsidRDefault="004F6813" w:rsidP="004F6813">
            <w:pPr>
              <w:pStyle w:val="ListParagraph"/>
              <w:numPr>
                <w:ilvl w:val="1"/>
                <w:numId w:val="6"/>
              </w:numPr>
            </w:pPr>
            <w:r>
              <w:lastRenderedPageBreak/>
              <w:t xml:space="preserve">Foster and encourage flexible working conditions </w:t>
            </w:r>
            <w:r w:rsidR="0079799D">
              <w:t xml:space="preserve"> </w:t>
            </w:r>
          </w:p>
          <w:p w:rsidR="00A34ADB" w:rsidRDefault="00A34ADB" w:rsidP="00A34ADB"/>
          <w:p w:rsidR="00A34ADB" w:rsidRDefault="00A34ADB" w:rsidP="00A34ADB">
            <w:pPr>
              <w:pStyle w:val="ListParagraph"/>
            </w:pPr>
          </w:p>
          <w:p w:rsidR="0079799D" w:rsidRDefault="0079799D" w:rsidP="004F6813">
            <w:pPr>
              <w:pStyle w:val="ListParagraph"/>
              <w:numPr>
                <w:ilvl w:val="1"/>
                <w:numId w:val="6"/>
              </w:numPr>
            </w:pPr>
            <w:r>
              <w:t>P</w:t>
            </w:r>
            <w:r w:rsidR="004F6813">
              <w:t>ublicise transparent Promotion and Recognition and reward polices/procedures</w:t>
            </w:r>
          </w:p>
          <w:p w:rsidR="004F6813" w:rsidRDefault="004F6813" w:rsidP="004F6813">
            <w:pPr>
              <w:pStyle w:val="ListParagraph"/>
            </w:pPr>
          </w:p>
          <w:p w:rsidR="00A34ADB" w:rsidRDefault="00A34ADB" w:rsidP="00A34ADB">
            <w:pPr>
              <w:pStyle w:val="ListParagraph"/>
              <w:ind w:left="360"/>
            </w:pP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A34ADB" w:rsidRDefault="00A34ADB" w:rsidP="00A34ADB">
            <w:pPr>
              <w:pStyle w:val="ListParagraph"/>
              <w:ind w:left="360"/>
            </w:pPr>
          </w:p>
          <w:p w:rsidR="0079799D" w:rsidRDefault="004D7557" w:rsidP="004F6813">
            <w:pPr>
              <w:pStyle w:val="ListParagraph"/>
              <w:numPr>
                <w:ilvl w:val="1"/>
                <w:numId w:val="6"/>
              </w:numPr>
            </w:pPr>
            <w:r>
              <w:t>Facilitate participation in Athena SWAN Charter</w:t>
            </w:r>
          </w:p>
          <w:p w:rsidR="004D7557" w:rsidRDefault="004D7557" w:rsidP="004D7557">
            <w:pPr>
              <w:pStyle w:val="ListParagraph"/>
            </w:pPr>
          </w:p>
          <w:p w:rsidR="0079799D" w:rsidRPr="00E60FFD" w:rsidRDefault="0079799D" w:rsidP="004D7557">
            <w:pPr>
              <w:pStyle w:val="ListParagraph"/>
              <w:ind w:left="360"/>
            </w:pPr>
          </w:p>
        </w:tc>
        <w:tc>
          <w:tcPr>
            <w:tcW w:w="10410" w:type="dxa"/>
          </w:tcPr>
          <w:p w:rsidR="0079799D" w:rsidRDefault="004F6813"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5.1 The University has a </w:t>
            </w:r>
            <w:hyperlink r:id="rId19" w:history="1">
              <w:r w:rsidRPr="004F6813">
                <w:rPr>
                  <w:rStyle w:val="Hyperlink"/>
                  <w:rFonts w:ascii="Calibri" w:eastAsia="Times New Roman" w:hAnsi="Calibri" w:cs="Times New Roman"/>
                  <w:iCs/>
                  <w:lang w:eastAsia="en-GB"/>
                </w:rPr>
                <w:t>Flexible Working Policy</w:t>
              </w:r>
            </w:hyperlink>
            <w:r>
              <w:rPr>
                <w:rFonts w:ascii="Calibri" w:eastAsia="Times New Roman" w:hAnsi="Calibri" w:cs="Times New Roman"/>
                <w:iCs/>
                <w:color w:val="000000"/>
                <w:lang w:eastAsia="en-GB"/>
              </w:rPr>
              <w:t xml:space="preserve"> that</w:t>
            </w:r>
            <w:r w:rsidR="0039528C">
              <w:rPr>
                <w:rFonts w:ascii="Calibri" w:eastAsia="Times New Roman" w:hAnsi="Calibri" w:cs="Times New Roman"/>
                <w:iCs/>
                <w:color w:val="000000"/>
                <w:lang w:eastAsia="en-GB"/>
              </w:rPr>
              <w:t xml:space="preserve"> the majority of research </w:t>
            </w:r>
            <w:r>
              <w:rPr>
                <w:rFonts w:ascii="Calibri" w:eastAsia="Times New Roman" w:hAnsi="Calibri" w:cs="Times New Roman"/>
                <w:iCs/>
                <w:color w:val="000000"/>
                <w:lang w:eastAsia="en-GB"/>
              </w:rPr>
              <w:t>staff are aware of</w:t>
            </w:r>
            <w:r w:rsidR="00A46146">
              <w:rPr>
                <w:rFonts w:ascii="Calibri" w:eastAsia="Times New Roman" w:hAnsi="Calibri" w:cs="Times New Roman"/>
                <w:iCs/>
                <w:color w:val="000000"/>
                <w:lang w:eastAsia="en-GB"/>
              </w:rPr>
              <w:t xml:space="preserve"> (85% of CROS 2015 respondents said they were aware of the policy)</w:t>
            </w:r>
            <w:r>
              <w:rPr>
                <w:rFonts w:ascii="Calibri" w:eastAsia="Times New Roman" w:hAnsi="Calibri" w:cs="Times New Roman"/>
                <w:iCs/>
                <w:color w:val="000000"/>
                <w:lang w:eastAsia="en-GB"/>
              </w:rPr>
              <w:t>.  The Policy sets out The University’ s approach to flexible working arrangements which is in accordance with the ACAS code of practice and guidance on handling requests to work flexibly in a reasonable manner.</w:t>
            </w:r>
            <w:r w:rsidR="0079799D">
              <w:rPr>
                <w:rFonts w:ascii="Calibri" w:eastAsia="Times New Roman" w:hAnsi="Calibri" w:cs="Times New Roman"/>
                <w:iCs/>
                <w:color w:val="000000"/>
                <w:lang w:eastAsia="en-GB"/>
              </w:rPr>
              <w:t xml:space="preserve"> </w:t>
            </w:r>
          </w:p>
          <w:p w:rsidR="00A46146" w:rsidRDefault="004F6813" w:rsidP="0079799D">
            <w:pPr>
              <w:rPr>
                <w:rFonts w:ascii="Calibri" w:eastAsia="Times New Roman" w:hAnsi="Calibri" w:cs="Times New Roman"/>
                <w:iCs/>
                <w:color w:val="000000"/>
                <w:lang w:eastAsia="en-GB"/>
              </w:rPr>
            </w:pPr>
            <w:r>
              <w:rPr>
                <w:rFonts w:ascii="Calibri" w:eastAsia="Times New Roman" w:hAnsi="Calibri" w:cs="Times New Roman"/>
                <w:iCs/>
                <w:color w:val="000000"/>
                <w:lang w:eastAsia="en-GB"/>
              </w:rPr>
              <w:t xml:space="preserve">5.2 The </w:t>
            </w:r>
            <w:r w:rsidR="00A46146">
              <w:rPr>
                <w:rFonts w:ascii="Calibri" w:eastAsia="Times New Roman" w:hAnsi="Calibri" w:cs="Times New Roman"/>
                <w:iCs/>
                <w:color w:val="000000"/>
                <w:lang w:eastAsia="en-GB"/>
              </w:rPr>
              <w:t xml:space="preserve">Faculty Researcher Development Team in the Faculty of Medical &amp; Human Sciences (FMHS) in particular, have worked hard to increase awareness of promotion and how to apply for it with a notable impact on the promotions data for research staff in </w:t>
            </w:r>
            <w:r w:rsidR="0039528C">
              <w:rPr>
                <w:rFonts w:ascii="Calibri" w:eastAsia="Times New Roman" w:hAnsi="Calibri" w:cs="Times New Roman"/>
                <w:iCs/>
                <w:color w:val="000000"/>
                <w:lang w:eastAsia="en-GB"/>
              </w:rPr>
              <w:t>this Faculty</w:t>
            </w:r>
            <w:r w:rsidR="00A46146">
              <w:rPr>
                <w:rFonts w:ascii="Calibri" w:eastAsia="Times New Roman" w:hAnsi="Calibri" w:cs="Times New Roman"/>
                <w:iCs/>
                <w:color w:val="000000"/>
                <w:lang w:eastAsia="en-GB"/>
              </w:rPr>
              <w:t xml:space="preserve">: </w:t>
            </w:r>
            <w:r w:rsidR="0039528C">
              <w:rPr>
                <w:rFonts w:ascii="Calibri" w:eastAsia="Times New Roman" w:hAnsi="Calibri" w:cs="Times New Roman"/>
                <w:iCs/>
                <w:color w:val="000000"/>
                <w:lang w:eastAsia="en-GB"/>
              </w:rPr>
              <w:t>in the 2014/15 promotion round, 24 out of 30 applications from research staff were successful.</w:t>
            </w:r>
            <w:r w:rsidR="00A46146">
              <w:rPr>
                <w:rFonts w:ascii="Calibri" w:eastAsia="Times New Roman" w:hAnsi="Calibri" w:cs="Times New Roman"/>
                <w:iCs/>
                <w:color w:val="000000"/>
                <w:lang w:eastAsia="en-GB"/>
              </w:rPr>
              <w:t xml:space="preserve"> Work is curr</w:t>
            </w:r>
            <w:r w:rsidR="0039528C">
              <w:rPr>
                <w:rFonts w:ascii="Calibri" w:eastAsia="Times New Roman" w:hAnsi="Calibri" w:cs="Times New Roman"/>
                <w:iCs/>
                <w:color w:val="000000"/>
                <w:lang w:eastAsia="en-GB"/>
              </w:rPr>
              <w:t>ently in progress to determine i</w:t>
            </w:r>
            <w:r w:rsidR="00A46146">
              <w:rPr>
                <w:rFonts w:ascii="Calibri" w:eastAsia="Times New Roman" w:hAnsi="Calibri" w:cs="Times New Roman"/>
                <w:iCs/>
                <w:color w:val="000000"/>
                <w:lang w:eastAsia="en-GB"/>
              </w:rPr>
              <w:t xml:space="preserve">f the good practice developed in FMHS can be rolled out to the other faculties in The University. </w:t>
            </w:r>
          </w:p>
          <w:p w:rsidR="00A03EE6" w:rsidRPr="00A03EE6" w:rsidRDefault="00A03EE6" w:rsidP="009053BB">
            <w:pPr>
              <w:rPr>
                <w:rFonts w:ascii="Segoe UI" w:eastAsia="Times New Roman" w:hAnsi="Segoe UI" w:cs="Segoe UI"/>
                <w:color w:val="000000"/>
                <w:sz w:val="27"/>
                <w:szCs w:val="27"/>
                <w:lang w:eastAsia="en-GB"/>
              </w:rPr>
            </w:pPr>
            <w:r w:rsidRPr="00A03EE6">
              <w:rPr>
                <w:rFonts w:ascii="Calibri" w:eastAsia="Times New Roman" w:hAnsi="Calibri" w:cs="Segoe UI"/>
                <w:iCs/>
                <w:color w:val="000000"/>
                <w:lang w:eastAsia="en-GB"/>
              </w:rPr>
              <w:t xml:space="preserve">The University’s promotion process and policy </w:t>
            </w:r>
            <w:r w:rsidR="009053BB">
              <w:rPr>
                <w:rFonts w:ascii="Calibri" w:eastAsia="Times New Roman" w:hAnsi="Calibri" w:cs="Segoe UI"/>
                <w:iCs/>
                <w:color w:val="000000"/>
                <w:lang w:eastAsia="en-GB"/>
              </w:rPr>
              <w:t>(</w:t>
            </w:r>
            <w:hyperlink r:id="rId20" w:history="1">
              <w:r w:rsidR="009053BB" w:rsidRPr="009053BB">
                <w:rPr>
                  <w:rStyle w:val="Hyperlink"/>
                  <w:rFonts w:ascii="Calibri" w:eastAsia="Times New Roman" w:hAnsi="Calibri" w:cs="Segoe UI"/>
                  <w:iCs/>
                  <w:lang w:eastAsia="en-GB"/>
                </w:rPr>
                <w:t>including promotions for research staff</w:t>
              </w:r>
            </w:hyperlink>
            <w:r w:rsidR="009053BB">
              <w:rPr>
                <w:rFonts w:ascii="Calibri" w:eastAsia="Times New Roman" w:hAnsi="Calibri" w:cs="Segoe UI"/>
                <w:iCs/>
                <w:color w:val="000000"/>
                <w:lang w:eastAsia="en-GB"/>
              </w:rPr>
              <w:t xml:space="preserve">) </w:t>
            </w:r>
            <w:r w:rsidRPr="00A03EE6">
              <w:rPr>
                <w:rFonts w:ascii="Calibri" w:eastAsia="Times New Roman" w:hAnsi="Calibri" w:cs="Segoe UI"/>
                <w:iCs/>
                <w:color w:val="000000"/>
                <w:lang w:eastAsia="en-GB"/>
              </w:rPr>
              <w:t>now recognises and rewards both teaching-focused and research-focused career pathways, as well as accounting for career-breaks and part-time working, hence reflecting flexibility in career paths. Furthermore research staff are now eligible for promotion. Faculty-wide Academic and Research Promotions Masterclass workshops are delivered every year and are advertised with a positive action statement to encourage women and BME staff to attend and support staff in submitting promotion cases. Furthermore Schools offer CV clinics for individually tailored support.</w:t>
            </w:r>
            <w:r w:rsidRPr="00A03EE6">
              <w:rPr>
                <w:sz w:val="23"/>
                <w:szCs w:val="23"/>
              </w:rPr>
              <w:t xml:space="preserve"> </w:t>
            </w:r>
          </w:p>
          <w:p w:rsidR="0079799D" w:rsidRPr="00443E4F" w:rsidRDefault="00443E4F" w:rsidP="00443E4F">
            <w:pPr>
              <w:autoSpaceDE w:val="0"/>
              <w:autoSpaceDN w:val="0"/>
              <w:adjustRightInd w:val="0"/>
              <w:spacing w:after="0"/>
              <w:rPr>
                <w:rFonts w:ascii="Calibri" w:hAnsi="Calibri" w:cs="Calibri"/>
                <w:sz w:val="23"/>
                <w:szCs w:val="23"/>
              </w:rPr>
            </w:pPr>
            <w:r>
              <w:rPr>
                <w:rFonts w:ascii="Calibri" w:eastAsia="Times New Roman" w:hAnsi="Calibri" w:cs="Times New Roman"/>
                <w:iCs/>
                <w:color w:val="000000"/>
                <w:lang w:eastAsia="en-GB"/>
              </w:rPr>
              <w:t>5.3</w:t>
            </w:r>
            <w:r w:rsidR="00B97E5F" w:rsidRPr="00443E4F">
              <w:rPr>
                <w:rFonts w:ascii="Calibri" w:eastAsia="Times New Roman" w:hAnsi="Calibri" w:cs="Times New Roman"/>
                <w:iCs/>
                <w:color w:val="000000"/>
                <w:lang w:eastAsia="en-GB"/>
              </w:rPr>
              <w:t xml:space="preserve">The University of Manchester is committed to equality of opportunity for all staff and students. The University holds a number of equality and diversity awards and accreditations reflecting the strong commitment to supporting a vibrant academic community where all can flourish. The University has held an Athena SWAN Institutional Bronze Award since 2008 and all 15 STEMM Schools hold departmental awards (five Silver, ten Bronze). </w:t>
            </w:r>
            <w:r w:rsidR="00B97E5F" w:rsidRPr="00443E4F">
              <w:rPr>
                <w:rFonts w:ascii="Calibri" w:hAnsi="Calibri"/>
                <w:color w:val="000000"/>
                <w:sz w:val="23"/>
                <w:szCs w:val="23"/>
              </w:rPr>
              <w:t xml:space="preserve">The Athena SWAN Charter for Women in Science expanded in May 2015 to recognise work undertaken in arts, humanities, social sciences, business and law (AHSSBL), and in professional and support roles, and for trans staff and students. The work to support our five Schools within the Faculty of Humanities to achieve Athena SWAN awards is underway </w:t>
            </w:r>
            <w:r w:rsidR="00B97E5F" w:rsidRPr="00443E4F">
              <w:rPr>
                <w:rFonts w:ascii="Calibri" w:eastAsia="Times New Roman" w:hAnsi="Calibri" w:cs="Times New Roman"/>
                <w:iCs/>
                <w:color w:val="000000"/>
                <w:lang w:eastAsia="en-GB"/>
              </w:rPr>
              <w:t xml:space="preserve">with the support of our dedicated University’s Charter Marks Coordinator and the commitment to making a long term cultural change which will benefit all staff. In 2014 the University participated in the Race Equality Charter Mark pilot to support our BME community and ensure colleagues are not disadvantaged. Participation in these Equality Charters, alongside </w:t>
            </w:r>
            <w:r w:rsidR="00B97E5F" w:rsidRPr="00443E4F">
              <w:rPr>
                <w:rFonts w:ascii="Calibri" w:hAnsi="Calibri" w:cs="Calibri"/>
                <w:sz w:val="23"/>
                <w:szCs w:val="23"/>
              </w:rPr>
              <w:t xml:space="preserve">Investors in People, Stonewall, Time to Change and Disability Two Ticks, ensures the necessary framework is in place to report and monitor our progress towards an organisational culture where all experience equality of opportunity for development and progression. The Equality and Diversity Office provides strong support for all the initiatives that are helping us create an equitable workplace. </w:t>
            </w:r>
          </w:p>
          <w:p w:rsidR="00255E4B" w:rsidRPr="00E60FFD" w:rsidRDefault="00255E4B" w:rsidP="00443E4F">
            <w:pPr>
              <w:pStyle w:val="ListParagraph"/>
              <w:autoSpaceDE w:val="0"/>
              <w:autoSpaceDN w:val="0"/>
              <w:adjustRightInd w:val="0"/>
              <w:spacing w:after="0"/>
              <w:ind w:left="360"/>
            </w:pPr>
          </w:p>
        </w:tc>
      </w:tr>
      <w:tr w:rsidR="0079799D" w:rsidTr="00255E4B">
        <w:trPr>
          <w:trHeight w:hRule="exact" w:val="90"/>
        </w:trPr>
        <w:tc>
          <w:tcPr>
            <w:tcW w:w="3540" w:type="dxa"/>
            <w:vMerge/>
          </w:tcPr>
          <w:p w:rsidR="0079799D" w:rsidRDefault="0079799D" w:rsidP="00443E4F">
            <w:pPr>
              <w:pStyle w:val="ListParagraph"/>
              <w:numPr>
                <w:ilvl w:val="0"/>
                <w:numId w:val="6"/>
              </w:numPr>
            </w:pPr>
          </w:p>
        </w:tc>
        <w:tc>
          <w:tcPr>
            <w:tcW w:w="10410" w:type="dxa"/>
          </w:tcPr>
          <w:p w:rsidR="0079799D" w:rsidRDefault="0079799D" w:rsidP="0079799D"/>
          <w:p w:rsidR="0079799D" w:rsidRDefault="0079799D" w:rsidP="0079799D"/>
        </w:tc>
      </w:tr>
      <w:tr w:rsidR="0079799D" w:rsidTr="00255E4B">
        <w:trPr>
          <w:trHeight w:val="419"/>
        </w:trPr>
        <w:tc>
          <w:tcPr>
            <w:tcW w:w="13950" w:type="dxa"/>
            <w:gridSpan w:val="2"/>
          </w:tcPr>
          <w:p w:rsidR="0079799D" w:rsidRPr="00E60FFD" w:rsidRDefault="00255E4B" w:rsidP="00D6615E">
            <w:pPr>
              <w:pStyle w:val="ListParagraph"/>
              <w:numPr>
                <w:ilvl w:val="0"/>
                <w:numId w:val="2"/>
              </w:numPr>
            </w:pPr>
            <w:r w:rsidRPr="00D6615E">
              <w:rPr>
                <w:b/>
              </w:rPr>
              <w:lastRenderedPageBreak/>
              <w:t>Implementation &amp; Review (</w:t>
            </w:r>
            <w:r w:rsidR="001431E0" w:rsidRPr="00D6615E">
              <w:rPr>
                <w:b/>
              </w:rPr>
              <w:t>Concordat Principle</w:t>
            </w:r>
            <w:r w:rsidRPr="00D6615E">
              <w:rPr>
                <w:b/>
              </w:rPr>
              <w:t>s 2,3,4,5,7)</w:t>
            </w:r>
            <w:r w:rsidR="001431E0" w:rsidRPr="00D6615E">
              <w:rPr>
                <w:b/>
              </w:rPr>
              <w:t xml:space="preserve"> </w:t>
            </w:r>
            <w:r w:rsidR="0079799D" w:rsidRPr="00D6615E">
              <w:rPr>
                <w:b/>
              </w:rPr>
              <w:t xml:space="preserve"> </w:t>
            </w:r>
          </w:p>
        </w:tc>
      </w:tr>
      <w:tr w:rsidR="0079799D" w:rsidTr="0079799D">
        <w:trPr>
          <w:trHeight w:val="525"/>
        </w:trPr>
        <w:tc>
          <w:tcPr>
            <w:tcW w:w="3540" w:type="dxa"/>
          </w:tcPr>
          <w:p w:rsidR="0079799D" w:rsidRDefault="0079799D" w:rsidP="0079799D">
            <w:pPr>
              <w:rPr>
                <w:b/>
              </w:rPr>
            </w:pPr>
            <w:r>
              <w:rPr>
                <w:b/>
              </w:rPr>
              <w:t>Objectives</w:t>
            </w:r>
          </w:p>
        </w:tc>
        <w:tc>
          <w:tcPr>
            <w:tcW w:w="10410" w:type="dxa"/>
          </w:tcPr>
          <w:p w:rsidR="0079799D" w:rsidRDefault="0079799D" w:rsidP="0079799D">
            <w:pPr>
              <w:rPr>
                <w:b/>
              </w:rPr>
            </w:pPr>
            <w:r>
              <w:rPr>
                <w:b/>
              </w:rPr>
              <w:t>Success measures</w:t>
            </w:r>
          </w:p>
        </w:tc>
      </w:tr>
      <w:tr w:rsidR="0079799D" w:rsidTr="00443E4F">
        <w:trPr>
          <w:trHeight w:val="565"/>
        </w:trPr>
        <w:tc>
          <w:tcPr>
            <w:tcW w:w="3540" w:type="dxa"/>
          </w:tcPr>
          <w:p w:rsidR="0079799D" w:rsidRDefault="004D7557" w:rsidP="00A34ADB">
            <w:pPr>
              <w:pStyle w:val="ListParagraph"/>
              <w:numPr>
                <w:ilvl w:val="1"/>
                <w:numId w:val="2"/>
              </w:numPr>
            </w:pPr>
            <w:r>
              <w:t>Publicise The University’s Concordat Implementation Plan and progress.</w:t>
            </w:r>
          </w:p>
          <w:p w:rsidR="00A34ADB" w:rsidRDefault="00A34ADB" w:rsidP="00A34ADB">
            <w:pPr>
              <w:pStyle w:val="ListParagraph"/>
              <w:ind w:left="360"/>
            </w:pPr>
          </w:p>
          <w:p w:rsidR="0079799D" w:rsidRDefault="004D7557" w:rsidP="0079799D">
            <w:pPr>
              <w:pStyle w:val="ListParagraph"/>
              <w:numPr>
                <w:ilvl w:val="1"/>
                <w:numId w:val="2"/>
              </w:numPr>
            </w:pPr>
            <w:r>
              <w:t>Participate in surveys (e.g. CROS and PIRLS) for benchmarking purposes and to monitor institutional performance</w:t>
            </w:r>
            <w:r w:rsidR="0079799D">
              <w:t>.</w:t>
            </w:r>
          </w:p>
          <w:p w:rsidR="00A34ADB" w:rsidRDefault="00A34ADB" w:rsidP="00A34ADB">
            <w:pPr>
              <w:pStyle w:val="ListParagraph"/>
            </w:pPr>
          </w:p>
          <w:p w:rsidR="00A34ADB" w:rsidRDefault="00A34ADB" w:rsidP="00A34ADB">
            <w:pPr>
              <w:pStyle w:val="ListParagraph"/>
              <w:ind w:left="360"/>
            </w:pPr>
          </w:p>
          <w:p w:rsidR="00A34ADB" w:rsidRDefault="00A34ADB" w:rsidP="00A34ADB">
            <w:pPr>
              <w:pStyle w:val="ListParagraph"/>
            </w:pPr>
          </w:p>
          <w:p w:rsidR="004D7557" w:rsidRDefault="004D7557" w:rsidP="0079799D">
            <w:pPr>
              <w:pStyle w:val="ListParagraph"/>
              <w:numPr>
                <w:ilvl w:val="1"/>
                <w:numId w:val="2"/>
              </w:numPr>
            </w:pPr>
            <w:r>
              <w:t xml:space="preserve">Seek external recognition of key successes i.e. HR Excellence in Research badge, THES awards etc. </w:t>
            </w:r>
          </w:p>
          <w:p w:rsidR="0079799D" w:rsidRDefault="004D7557" w:rsidP="0079799D">
            <w:r>
              <w:t>6</w:t>
            </w:r>
            <w:r w:rsidR="0079799D">
              <w:t>.</w:t>
            </w:r>
            <w:r>
              <w:t>4</w:t>
            </w:r>
            <w:r w:rsidR="0079799D">
              <w:t xml:space="preserve"> </w:t>
            </w:r>
            <w:r>
              <w:t>Develop online questionnaire for exit interviews to monitor/evaluate The University’s training provision for research staff</w:t>
            </w:r>
            <w:r w:rsidR="0079799D">
              <w:t xml:space="preserve">. </w:t>
            </w:r>
          </w:p>
          <w:p w:rsidR="004D7557" w:rsidRDefault="004D7557" w:rsidP="0079799D">
            <w:r>
              <w:t xml:space="preserve">6.5 Evaluate researchers’ and PIs delivery of The University’s Concordat Implementation Plan responsibilities to monitor outputs and progress via their own PDRs. Expand eProg to allow the management and monitoring of PDRs for research staff. </w:t>
            </w:r>
          </w:p>
          <w:p w:rsidR="0079799D" w:rsidRPr="00E60FFD" w:rsidRDefault="004D7557" w:rsidP="00BA6EF2">
            <w:r>
              <w:t>6.6</w:t>
            </w:r>
            <w:r w:rsidR="0079799D">
              <w:t xml:space="preserve"> </w:t>
            </w:r>
            <w:r>
              <w:t xml:space="preserve">Monitor accessibility, </w:t>
            </w:r>
            <w:r>
              <w:lastRenderedPageBreak/>
              <w:t>effectiveness and take-up of development and training opportunities that are relevant</w:t>
            </w:r>
            <w:r w:rsidR="00BA6EF2">
              <w:t>.</w:t>
            </w:r>
            <w:r>
              <w:t xml:space="preserve"> </w:t>
            </w:r>
          </w:p>
        </w:tc>
        <w:tc>
          <w:tcPr>
            <w:tcW w:w="10410" w:type="dxa"/>
          </w:tcPr>
          <w:p w:rsidR="0079799D" w:rsidRDefault="009053BB" w:rsidP="009053BB">
            <w:r w:rsidRPr="009053BB">
              <w:lastRenderedPageBreak/>
              <w:t xml:space="preserve">6.1 </w:t>
            </w:r>
            <w:r>
              <w:t>CROS 2015 results, and additional feedback collected from research staff across The University via Research Staff Fora etc, shows that relatively few numbers are aware of either The Concordat to Support The Career Development of Researchers, or The Univers</w:t>
            </w:r>
            <w:r w:rsidR="00443E4F">
              <w:t>ity’s Concordat Implementation P</w:t>
            </w:r>
            <w:r>
              <w:t xml:space="preserve">lan. Clearly a more work </w:t>
            </w:r>
            <w:r w:rsidR="00443E4F">
              <w:t xml:space="preserve">is needed to raise awareness of both amongst research staff. </w:t>
            </w:r>
          </w:p>
          <w:p w:rsidR="009053BB" w:rsidRDefault="009053BB" w:rsidP="009053BB">
            <w:r>
              <w:t>6.2 The University is committed to participating in CROS</w:t>
            </w:r>
            <w:r w:rsidR="00443E4F">
              <w:t xml:space="preserve"> to collect the views and experiences of research staff (a bi-annual internal Staff Survey supplements this data)</w:t>
            </w:r>
            <w:r>
              <w:t>. However, the decision was taken not to participate in PIRLS because the questionnaire was deemed not fit for purpose. In its place, an internal survey was conducted of academics to assess training and development needs and their attitudes to both. As a result of this internal survey</w:t>
            </w:r>
            <w:r w:rsidR="00443E4F">
              <w:t xml:space="preserve"> </w:t>
            </w:r>
            <w:r>
              <w:t xml:space="preserve">a suite of lunchtime Master classes were developed and delivered by a newly appointed Director of </w:t>
            </w:r>
            <w:r w:rsidR="00443E4F">
              <w:t xml:space="preserve">Academic </w:t>
            </w:r>
            <w:r>
              <w:t>Staff Training</w:t>
            </w:r>
            <w:r w:rsidR="00443E4F">
              <w:t xml:space="preserve"> (see … above). </w:t>
            </w:r>
            <w:r>
              <w:t xml:space="preserve">. </w:t>
            </w:r>
          </w:p>
          <w:p w:rsidR="00E341F8" w:rsidRDefault="00E341F8" w:rsidP="009053BB">
            <w:r>
              <w:t xml:space="preserve">6.3 The University </w:t>
            </w:r>
            <w:r w:rsidR="00443E4F">
              <w:t xml:space="preserve">encourages applications to external bodies to recognise success, and has a peer-review system in place to select worthy applications for submission to external bodies. </w:t>
            </w:r>
            <w:r>
              <w:t xml:space="preserve"> </w:t>
            </w:r>
            <w:r w:rsidR="00443E4F">
              <w:t xml:space="preserve">Proposals from Faculty and/or PSS Researcher Development Teams are encouraged every year. </w:t>
            </w:r>
          </w:p>
          <w:p w:rsidR="00A34ADB" w:rsidRDefault="00A34ADB" w:rsidP="009053BB"/>
          <w:p w:rsidR="00E341F8" w:rsidRDefault="00E341F8" w:rsidP="009053BB">
            <w:r>
              <w:t xml:space="preserve">6.4 </w:t>
            </w:r>
            <w:r w:rsidR="00443E4F">
              <w:t>A</w:t>
            </w:r>
            <w:r w:rsidR="00C43212">
              <w:t>n</w:t>
            </w:r>
            <w:r w:rsidR="00443E4F">
              <w:t xml:space="preserve"> </w:t>
            </w:r>
            <w:r w:rsidR="00C43212">
              <w:t>online exit questionnaire</w:t>
            </w:r>
            <w:r w:rsidR="00443E4F">
              <w:t xml:space="preserve"> </w:t>
            </w:r>
            <w:r w:rsidR="00C43212">
              <w:t xml:space="preserve">has not been developed and requires further discussion as to the value of this route in collecting/evaluating The University’s training provision for research staff. An alternative, collecting information form research staff Alumni, is being explored as a more effective, </w:t>
            </w:r>
            <w:r w:rsidR="00E0404E">
              <w:t>strategic alternative</w:t>
            </w:r>
            <w:r w:rsidR="00C43212">
              <w:t xml:space="preserve">. </w:t>
            </w:r>
          </w:p>
          <w:p w:rsidR="00E341F8" w:rsidRDefault="00E341F8" w:rsidP="009053BB">
            <w:r>
              <w:t xml:space="preserve">6.5 </w:t>
            </w:r>
            <w:r w:rsidR="00C43212">
              <w:t xml:space="preserve">The new online PDR system for all University staff (due for rollout in 2016), combined with CROS and internal Staff Survey data, will be used to monitor the impact of further implementation of The University’s Concordat Implementation Plan. Rather than expanding eProg (an electronic system to monitor progression of PhD students) to assist with the management and monitoring of PDRs for research staff, a completely new system – ResDOT – was developed and piloted amongst research staff. </w:t>
            </w:r>
          </w:p>
          <w:p w:rsidR="00A34ADB" w:rsidRDefault="00A34ADB" w:rsidP="00BA6EF2"/>
          <w:p w:rsidR="00A34ADB" w:rsidRDefault="00A34ADB" w:rsidP="00BA6EF2"/>
          <w:p w:rsidR="009053BB" w:rsidRPr="009053BB" w:rsidRDefault="00E341F8" w:rsidP="00BA6EF2">
            <w:r>
              <w:t xml:space="preserve">6.6 </w:t>
            </w:r>
            <w:r w:rsidR="00C43212">
              <w:t>The new University-wide online PDR system, which supersedes ResDOT, combined with CROS</w:t>
            </w:r>
            <w:r w:rsidR="00E14168">
              <w:t xml:space="preserve"> &amp;</w:t>
            </w:r>
            <w:r w:rsidR="00C43212">
              <w:t xml:space="preserve"> internal Staff </w:t>
            </w:r>
            <w:r w:rsidR="00C43212">
              <w:lastRenderedPageBreak/>
              <w:t xml:space="preserve">Survey data, </w:t>
            </w:r>
            <w:r w:rsidR="00E14168">
              <w:t xml:space="preserve">and data from The University’s electronic Training Catalogue, </w:t>
            </w:r>
            <w:r w:rsidR="00C43212">
              <w:t>will be used to monitor participation of research st</w:t>
            </w:r>
            <w:r w:rsidR="00E14168">
              <w:t>a</w:t>
            </w:r>
            <w:r w:rsidR="00C43212">
              <w:t xml:space="preserve">ff in </w:t>
            </w:r>
            <w:r>
              <w:t xml:space="preserve"> </w:t>
            </w:r>
            <w:r w:rsidR="00E14168">
              <w:t xml:space="preserve">training opportunities. Accessibility and effectiveness are currently monitored through consultation with research staff via Research Staff Fora etc. </w:t>
            </w:r>
          </w:p>
        </w:tc>
      </w:tr>
    </w:tbl>
    <w:p w:rsidR="0079799D" w:rsidRPr="00E60FFD" w:rsidRDefault="0079799D" w:rsidP="00E60FFD">
      <w:pPr>
        <w:rPr>
          <w:b/>
        </w:rPr>
      </w:pPr>
    </w:p>
    <w:sectPr w:rsidR="0079799D" w:rsidRPr="00E60FFD" w:rsidSect="00211A6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0C8C"/>
    <w:multiLevelType w:val="multilevel"/>
    <w:tmpl w:val="05A00A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1F8063C"/>
    <w:multiLevelType w:val="hybridMultilevel"/>
    <w:tmpl w:val="BFA2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62EBC"/>
    <w:multiLevelType w:val="multilevel"/>
    <w:tmpl w:val="23E6B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DA83D38"/>
    <w:multiLevelType w:val="hybridMultilevel"/>
    <w:tmpl w:val="86863046"/>
    <w:lvl w:ilvl="0" w:tplc="5B60FC6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7D32D4"/>
    <w:multiLevelType w:val="multilevel"/>
    <w:tmpl w:val="6A9AF9A6"/>
    <w:lvl w:ilvl="0">
      <w:start w:val="5"/>
      <w:numFmt w:val="decimal"/>
      <w:lvlText w:val="%1"/>
      <w:lvlJc w:val="left"/>
      <w:pPr>
        <w:ind w:left="360" w:hanging="360"/>
      </w:pPr>
      <w:rPr>
        <w:rFonts w:eastAsia="Times New Roman" w:cs="Times New Roman" w:hint="default"/>
        <w:color w:val="000000"/>
        <w:sz w:val="22"/>
      </w:rPr>
    </w:lvl>
    <w:lvl w:ilvl="1">
      <w:start w:val="3"/>
      <w:numFmt w:val="decimal"/>
      <w:lvlText w:val="%1.%2"/>
      <w:lvlJc w:val="left"/>
      <w:pPr>
        <w:ind w:left="360" w:hanging="360"/>
      </w:pPr>
      <w:rPr>
        <w:rFonts w:eastAsia="Times New Roman" w:cs="Times New Roman" w:hint="default"/>
        <w:color w:val="000000"/>
        <w:sz w:val="22"/>
      </w:rPr>
    </w:lvl>
    <w:lvl w:ilvl="2">
      <w:start w:val="1"/>
      <w:numFmt w:val="decimal"/>
      <w:lvlText w:val="%1.%2.%3"/>
      <w:lvlJc w:val="left"/>
      <w:pPr>
        <w:ind w:left="720" w:hanging="720"/>
      </w:pPr>
      <w:rPr>
        <w:rFonts w:eastAsia="Times New Roman" w:cs="Times New Roman" w:hint="default"/>
        <w:color w:val="000000"/>
        <w:sz w:val="22"/>
      </w:rPr>
    </w:lvl>
    <w:lvl w:ilvl="3">
      <w:start w:val="1"/>
      <w:numFmt w:val="decimal"/>
      <w:lvlText w:val="%1.%2.%3.%4"/>
      <w:lvlJc w:val="left"/>
      <w:pPr>
        <w:ind w:left="720" w:hanging="720"/>
      </w:pPr>
      <w:rPr>
        <w:rFonts w:eastAsia="Times New Roman" w:cs="Times New Roman" w:hint="default"/>
        <w:color w:val="000000"/>
        <w:sz w:val="22"/>
      </w:rPr>
    </w:lvl>
    <w:lvl w:ilvl="4">
      <w:start w:val="1"/>
      <w:numFmt w:val="decimal"/>
      <w:lvlText w:val="%1.%2.%3.%4.%5"/>
      <w:lvlJc w:val="left"/>
      <w:pPr>
        <w:ind w:left="1080" w:hanging="1080"/>
      </w:pPr>
      <w:rPr>
        <w:rFonts w:eastAsia="Times New Roman" w:cs="Times New Roman" w:hint="default"/>
        <w:color w:val="000000"/>
        <w:sz w:val="22"/>
      </w:rPr>
    </w:lvl>
    <w:lvl w:ilvl="5">
      <w:start w:val="1"/>
      <w:numFmt w:val="decimal"/>
      <w:lvlText w:val="%1.%2.%3.%4.%5.%6"/>
      <w:lvlJc w:val="left"/>
      <w:pPr>
        <w:ind w:left="1080" w:hanging="1080"/>
      </w:pPr>
      <w:rPr>
        <w:rFonts w:eastAsia="Times New Roman" w:cs="Times New Roman" w:hint="default"/>
        <w:color w:val="000000"/>
        <w:sz w:val="22"/>
      </w:rPr>
    </w:lvl>
    <w:lvl w:ilvl="6">
      <w:start w:val="1"/>
      <w:numFmt w:val="decimal"/>
      <w:lvlText w:val="%1.%2.%3.%4.%5.%6.%7"/>
      <w:lvlJc w:val="left"/>
      <w:pPr>
        <w:ind w:left="1440" w:hanging="1440"/>
      </w:pPr>
      <w:rPr>
        <w:rFonts w:eastAsia="Times New Roman" w:cs="Times New Roman" w:hint="default"/>
        <w:color w:val="000000"/>
        <w:sz w:val="22"/>
      </w:rPr>
    </w:lvl>
    <w:lvl w:ilvl="7">
      <w:start w:val="1"/>
      <w:numFmt w:val="decimal"/>
      <w:lvlText w:val="%1.%2.%3.%4.%5.%6.%7.%8"/>
      <w:lvlJc w:val="left"/>
      <w:pPr>
        <w:ind w:left="1440" w:hanging="1440"/>
      </w:pPr>
      <w:rPr>
        <w:rFonts w:eastAsia="Times New Roman" w:cs="Times New Roman" w:hint="default"/>
        <w:color w:val="000000"/>
        <w:sz w:val="22"/>
      </w:rPr>
    </w:lvl>
    <w:lvl w:ilvl="8">
      <w:start w:val="1"/>
      <w:numFmt w:val="decimal"/>
      <w:lvlText w:val="%1.%2.%3.%4.%5.%6.%7.%8.%9"/>
      <w:lvlJc w:val="left"/>
      <w:pPr>
        <w:ind w:left="1800" w:hanging="1800"/>
      </w:pPr>
      <w:rPr>
        <w:rFonts w:eastAsia="Times New Roman" w:cs="Times New Roman" w:hint="default"/>
        <w:color w:val="000000"/>
        <w:sz w:val="22"/>
      </w:rPr>
    </w:lvl>
  </w:abstractNum>
  <w:abstractNum w:abstractNumId="5">
    <w:nsid w:val="3CF67726"/>
    <w:multiLevelType w:val="hybridMultilevel"/>
    <w:tmpl w:val="BFBC0F30"/>
    <w:lvl w:ilvl="0" w:tplc="E64ED9E0">
      <w:start w:val="1"/>
      <w:numFmt w:val="bullet"/>
      <w:lvlText w:val=""/>
      <w:lvlJc w:val="left"/>
      <w:pPr>
        <w:ind w:left="1069"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B50BAC"/>
    <w:multiLevelType w:val="multilevel"/>
    <w:tmpl w:val="F372E7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C8D5B0A"/>
    <w:multiLevelType w:val="multilevel"/>
    <w:tmpl w:val="ACB410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6AEE054B"/>
    <w:multiLevelType w:val="hybridMultilevel"/>
    <w:tmpl w:val="B5725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ACE05CC"/>
    <w:multiLevelType w:val="multilevel"/>
    <w:tmpl w:val="F6F48A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7C2C6B39"/>
    <w:multiLevelType w:val="hybridMultilevel"/>
    <w:tmpl w:val="8090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6"/>
  </w:num>
  <w:num w:numId="8">
    <w:abstractNumId w:val="3"/>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FD"/>
    <w:rsid w:val="00012867"/>
    <w:rsid w:val="000322EB"/>
    <w:rsid w:val="00045A2E"/>
    <w:rsid w:val="000E374A"/>
    <w:rsid w:val="000F3F22"/>
    <w:rsid w:val="001431E0"/>
    <w:rsid w:val="00150DCD"/>
    <w:rsid w:val="00151A00"/>
    <w:rsid w:val="00152C3C"/>
    <w:rsid w:val="001A6516"/>
    <w:rsid w:val="001A79A3"/>
    <w:rsid w:val="001B4426"/>
    <w:rsid w:val="001C4A47"/>
    <w:rsid w:val="00206FF7"/>
    <w:rsid w:val="00211A64"/>
    <w:rsid w:val="00255E4B"/>
    <w:rsid w:val="002D09F5"/>
    <w:rsid w:val="002E14E8"/>
    <w:rsid w:val="0030173C"/>
    <w:rsid w:val="003131CA"/>
    <w:rsid w:val="00313656"/>
    <w:rsid w:val="0039528C"/>
    <w:rsid w:val="003A766D"/>
    <w:rsid w:val="00443E4F"/>
    <w:rsid w:val="00452122"/>
    <w:rsid w:val="004B61A8"/>
    <w:rsid w:val="004C4550"/>
    <w:rsid w:val="004C568D"/>
    <w:rsid w:val="004D7557"/>
    <w:rsid w:val="004F6813"/>
    <w:rsid w:val="00506621"/>
    <w:rsid w:val="005307F7"/>
    <w:rsid w:val="00530D82"/>
    <w:rsid w:val="005320B9"/>
    <w:rsid w:val="00536037"/>
    <w:rsid w:val="005567EA"/>
    <w:rsid w:val="00595748"/>
    <w:rsid w:val="005A2988"/>
    <w:rsid w:val="005E0631"/>
    <w:rsid w:val="005F3A08"/>
    <w:rsid w:val="00662793"/>
    <w:rsid w:val="006743C6"/>
    <w:rsid w:val="006964BB"/>
    <w:rsid w:val="006D7CFE"/>
    <w:rsid w:val="006E7C4F"/>
    <w:rsid w:val="006F27AD"/>
    <w:rsid w:val="00764639"/>
    <w:rsid w:val="00774D26"/>
    <w:rsid w:val="0079799D"/>
    <w:rsid w:val="007A7F85"/>
    <w:rsid w:val="007C1C77"/>
    <w:rsid w:val="007F6E5D"/>
    <w:rsid w:val="00815F05"/>
    <w:rsid w:val="0084452E"/>
    <w:rsid w:val="00856BDB"/>
    <w:rsid w:val="00881EFD"/>
    <w:rsid w:val="008867B5"/>
    <w:rsid w:val="008B20E4"/>
    <w:rsid w:val="008C7D8B"/>
    <w:rsid w:val="008D3030"/>
    <w:rsid w:val="009053BB"/>
    <w:rsid w:val="00920053"/>
    <w:rsid w:val="00942E9F"/>
    <w:rsid w:val="00977255"/>
    <w:rsid w:val="0098146E"/>
    <w:rsid w:val="009B2E69"/>
    <w:rsid w:val="009D6490"/>
    <w:rsid w:val="00A02C3D"/>
    <w:rsid w:val="00A03EE6"/>
    <w:rsid w:val="00A34ADB"/>
    <w:rsid w:val="00A46146"/>
    <w:rsid w:val="00A577E4"/>
    <w:rsid w:val="00A70214"/>
    <w:rsid w:val="00AB1ABB"/>
    <w:rsid w:val="00AE3299"/>
    <w:rsid w:val="00B97E5F"/>
    <w:rsid w:val="00BA6EF2"/>
    <w:rsid w:val="00BE51CB"/>
    <w:rsid w:val="00BF4A88"/>
    <w:rsid w:val="00C43212"/>
    <w:rsid w:val="00C43EDB"/>
    <w:rsid w:val="00C54D6E"/>
    <w:rsid w:val="00C60550"/>
    <w:rsid w:val="00C644D5"/>
    <w:rsid w:val="00CB177F"/>
    <w:rsid w:val="00CD0BAF"/>
    <w:rsid w:val="00CD35F1"/>
    <w:rsid w:val="00D2528E"/>
    <w:rsid w:val="00D564DF"/>
    <w:rsid w:val="00D6615E"/>
    <w:rsid w:val="00D76946"/>
    <w:rsid w:val="00D92BBC"/>
    <w:rsid w:val="00E0404E"/>
    <w:rsid w:val="00E14168"/>
    <w:rsid w:val="00E341F8"/>
    <w:rsid w:val="00E527B8"/>
    <w:rsid w:val="00E56290"/>
    <w:rsid w:val="00E60FFD"/>
    <w:rsid w:val="00E75C4E"/>
    <w:rsid w:val="00E925F1"/>
    <w:rsid w:val="00EB17E2"/>
    <w:rsid w:val="00EC5494"/>
    <w:rsid w:val="00EE5833"/>
    <w:rsid w:val="00EF336A"/>
    <w:rsid w:val="00F0538E"/>
    <w:rsid w:val="00F33DF9"/>
    <w:rsid w:val="00F47CF8"/>
    <w:rsid w:val="00F74A92"/>
    <w:rsid w:val="00F873DF"/>
    <w:rsid w:val="00F94111"/>
    <w:rsid w:val="00F94F8E"/>
    <w:rsid w:val="00FD2237"/>
    <w:rsid w:val="00FD3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0FFD"/>
    <w:rPr>
      <w:b/>
      <w:bCs/>
    </w:rPr>
  </w:style>
  <w:style w:type="paragraph" w:styleId="ListParagraph">
    <w:name w:val="List Paragraph"/>
    <w:basedOn w:val="Normal"/>
    <w:uiPriority w:val="34"/>
    <w:qFormat/>
    <w:rsid w:val="00D564DF"/>
    <w:pPr>
      <w:ind w:left="720"/>
      <w:contextualSpacing/>
    </w:pPr>
  </w:style>
  <w:style w:type="character" w:styleId="Hyperlink">
    <w:name w:val="Hyperlink"/>
    <w:basedOn w:val="DefaultParagraphFont"/>
    <w:uiPriority w:val="99"/>
    <w:unhideWhenUsed/>
    <w:rsid w:val="001B4426"/>
    <w:rPr>
      <w:color w:val="0000FF" w:themeColor="hyperlink"/>
      <w:u w:val="single"/>
    </w:rPr>
  </w:style>
  <w:style w:type="character" w:styleId="FollowedHyperlink">
    <w:name w:val="FollowedHyperlink"/>
    <w:basedOn w:val="DefaultParagraphFont"/>
    <w:uiPriority w:val="99"/>
    <w:semiHidden/>
    <w:unhideWhenUsed/>
    <w:rsid w:val="00977255"/>
    <w:rPr>
      <w:color w:val="800080" w:themeColor="followedHyperlink"/>
      <w:u w:val="single"/>
    </w:rPr>
  </w:style>
  <w:style w:type="paragraph" w:styleId="BalloonText">
    <w:name w:val="Balloon Text"/>
    <w:basedOn w:val="Normal"/>
    <w:link w:val="BalloonTextChar"/>
    <w:uiPriority w:val="99"/>
    <w:semiHidden/>
    <w:unhideWhenUsed/>
    <w:rsid w:val="00E75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0FFD"/>
    <w:rPr>
      <w:b/>
      <w:bCs/>
    </w:rPr>
  </w:style>
  <w:style w:type="paragraph" w:styleId="ListParagraph">
    <w:name w:val="List Paragraph"/>
    <w:basedOn w:val="Normal"/>
    <w:uiPriority w:val="34"/>
    <w:qFormat/>
    <w:rsid w:val="00D564DF"/>
    <w:pPr>
      <w:ind w:left="720"/>
      <w:contextualSpacing/>
    </w:pPr>
  </w:style>
  <w:style w:type="character" w:styleId="Hyperlink">
    <w:name w:val="Hyperlink"/>
    <w:basedOn w:val="DefaultParagraphFont"/>
    <w:uiPriority w:val="99"/>
    <w:unhideWhenUsed/>
    <w:rsid w:val="001B4426"/>
    <w:rPr>
      <w:color w:val="0000FF" w:themeColor="hyperlink"/>
      <w:u w:val="single"/>
    </w:rPr>
  </w:style>
  <w:style w:type="character" w:styleId="FollowedHyperlink">
    <w:name w:val="FollowedHyperlink"/>
    <w:basedOn w:val="DefaultParagraphFont"/>
    <w:uiPriority w:val="99"/>
    <w:semiHidden/>
    <w:unhideWhenUsed/>
    <w:rsid w:val="00977255"/>
    <w:rPr>
      <w:color w:val="800080" w:themeColor="followedHyperlink"/>
      <w:u w:val="single"/>
    </w:rPr>
  </w:style>
  <w:style w:type="paragraph" w:styleId="BalloonText">
    <w:name w:val="Balloon Text"/>
    <w:basedOn w:val="Normal"/>
    <w:link w:val="BalloonTextChar"/>
    <w:uiPriority w:val="99"/>
    <w:semiHidden/>
    <w:unhideWhenUsed/>
    <w:rsid w:val="00E75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manchester.ac.uk/" TargetMode="External"/><Relationship Id="rId13" Type="http://schemas.openxmlformats.org/officeDocument/2006/relationships/hyperlink" Target="http://www.careers.manchester.ac.uk/postgraduates/academiccareers/" TargetMode="External"/><Relationship Id="rId18" Type="http://schemas.openxmlformats.org/officeDocument/2006/relationships/hyperlink" Target="http://documents.manchester.ac.uk/display.aspx?DocID=9823"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documents.manchester.ac.uk/display.aspx?DocID=9623" TargetMode="External"/><Relationship Id="rId12" Type="http://schemas.openxmlformats.org/officeDocument/2006/relationships/hyperlink" Target="http://documents.manchester.ac.uk/display.aspx?DocID=851" TargetMode="External"/><Relationship Id="rId17" Type="http://schemas.openxmlformats.org/officeDocument/2006/relationships/hyperlink" Target="http://documents.manchester.ac.uk/display.aspx?DocID=10981" TargetMode="External"/><Relationship Id="rId2" Type="http://schemas.openxmlformats.org/officeDocument/2006/relationships/styles" Target="styles.xml"/><Relationship Id="rId16" Type="http://schemas.openxmlformats.org/officeDocument/2006/relationships/hyperlink" Target="http://www.staffnet.manchester.ac.uk/employment/training/onetoonecoaching/" TargetMode="External"/><Relationship Id="rId20" Type="http://schemas.openxmlformats.org/officeDocument/2006/relationships/hyperlink" Target="http://documents.manchester.ac.uk/display.aspx?DocID=16360"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www.careers.manchester.ac.uk/postgraduates/pathways/" TargetMode="External"/><Relationship Id="rId5" Type="http://schemas.openxmlformats.org/officeDocument/2006/relationships/webSettings" Target="webSettings.xml"/><Relationship Id="rId15" Type="http://schemas.openxmlformats.org/officeDocument/2006/relationships/hyperlink" Target="http://www.staffnet.manchester.ac.uk/employment/training/" TargetMode="External"/><Relationship Id="rId10" Type="http://schemas.openxmlformats.org/officeDocument/2006/relationships/hyperlink" Target="http://www.ipresource.manchester.ac.uk/documents/new/UMIP_IP_Policy_Guide.pdf" TargetMode="External"/><Relationship Id="rId19" Type="http://schemas.openxmlformats.org/officeDocument/2006/relationships/hyperlink" Target="http://documents.manchester.ac.uk/display.aspx?DocID=9823" TargetMode="External"/><Relationship Id="rId4" Type="http://schemas.openxmlformats.org/officeDocument/2006/relationships/settings" Target="settings.xml"/><Relationship Id="rId9" Type="http://schemas.openxmlformats.org/officeDocument/2006/relationships/hyperlink" Target="http://umi3.com/introduction/" TargetMode="External"/><Relationship Id="rId14" Type="http://schemas.openxmlformats.org/officeDocument/2006/relationships/hyperlink" Target="http://www.careers.manchester.ac.uk/experience/mento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5245</Words>
  <Characters>29900</Characters>
  <Application>Microsoft Office Word</Application>
  <DocSecurity>4</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Leech</dc:creator>
  <cp:lastModifiedBy>Mark Leech</cp:lastModifiedBy>
  <cp:revision>2</cp:revision>
  <cp:lastPrinted>2015-07-15T08:26:00Z</cp:lastPrinted>
  <dcterms:created xsi:type="dcterms:W3CDTF">2015-09-17T09:47:00Z</dcterms:created>
  <dcterms:modified xsi:type="dcterms:W3CDTF">2015-09-17T09:47:00Z</dcterms:modified>
</cp:coreProperties>
</file>