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2698" w14:textId="77777777" w:rsidR="00791053" w:rsidRPr="007D3EDB" w:rsidRDefault="00267FD3" w:rsidP="00B24531">
      <w:pPr>
        <w:pStyle w:val="Default"/>
        <w:rPr>
          <w:i/>
          <w:iCs/>
          <w:sz w:val="14"/>
          <w:szCs w:val="14"/>
        </w:rPr>
      </w:pPr>
      <w:r w:rsidRPr="00267FD3">
        <w:rPr>
          <w:rFonts w:asciiTheme="minorHAnsi" w:hAnsiTheme="minorHAnsi"/>
          <w:noProof/>
          <w:sz w:val="28"/>
          <w:szCs w:val="28"/>
          <w:lang w:eastAsia="en-GB"/>
        </w:rPr>
        <w:drawing>
          <wp:anchor distT="0" distB="0" distL="114300" distR="114300" simplePos="0" relativeHeight="251659264" behindDoc="0" locked="0" layoutInCell="1" allowOverlap="1" wp14:anchorId="67D07752" wp14:editId="437E84D7">
            <wp:simplePos x="0" y="0"/>
            <wp:positionH relativeFrom="column">
              <wp:posOffset>5172075</wp:posOffset>
            </wp:positionH>
            <wp:positionV relativeFrom="paragraph">
              <wp:posOffset>-305435</wp:posOffset>
            </wp:positionV>
            <wp:extent cx="1657350" cy="704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657350" cy="704850"/>
                    </a:xfrm>
                    <a:prstGeom prst="rect">
                      <a:avLst/>
                    </a:prstGeom>
                    <a:noFill/>
                  </pic:spPr>
                </pic:pic>
              </a:graphicData>
            </a:graphic>
          </wp:anchor>
        </w:drawing>
      </w:r>
    </w:p>
    <w:p w14:paraId="2F57610C" w14:textId="77777777" w:rsidR="00791053" w:rsidRPr="008A078F" w:rsidRDefault="00791053" w:rsidP="008C087A">
      <w:pPr>
        <w:pStyle w:val="Default"/>
        <w:ind w:left="426"/>
        <w:rPr>
          <w:sz w:val="20"/>
          <w:szCs w:val="20"/>
          <w:lang w:eastAsia="en-GB"/>
        </w:rPr>
      </w:pPr>
    </w:p>
    <w:p w14:paraId="4632DC4E" w14:textId="77777777" w:rsidR="00267FD3" w:rsidRDefault="00267FD3" w:rsidP="00C31B7B">
      <w:pPr>
        <w:pStyle w:val="Default"/>
        <w:rPr>
          <w:rFonts w:asciiTheme="minorHAnsi" w:hAnsiTheme="minorHAnsi"/>
          <w:b/>
          <w:bCs/>
          <w:sz w:val="28"/>
          <w:szCs w:val="28"/>
        </w:rPr>
      </w:pPr>
    </w:p>
    <w:p w14:paraId="283A7919" w14:textId="77777777" w:rsidR="00E1104F" w:rsidRPr="00267FD3" w:rsidRDefault="00AC1D0D" w:rsidP="00C31B7B">
      <w:pPr>
        <w:pStyle w:val="Default"/>
        <w:rPr>
          <w:rFonts w:asciiTheme="minorHAnsi" w:hAnsiTheme="minorHAnsi"/>
          <w:b/>
          <w:bCs/>
          <w:sz w:val="28"/>
          <w:szCs w:val="28"/>
        </w:rPr>
      </w:pPr>
      <w:r>
        <w:rPr>
          <w:rFonts w:asciiTheme="minorHAnsi" w:hAnsiTheme="minorHAnsi"/>
          <w:b/>
          <w:bCs/>
          <w:sz w:val="28"/>
          <w:szCs w:val="28"/>
        </w:rPr>
        <w:t>Loan Scheme</w:t>
      </w:r>
    </w:p>
    <w:p w14:paraId="664488F9" w14:textId="77777777" w:rsidR="00791053" w:rsidRPr="00267FD3" w:rsidRDefault="009E0EC2" w:rsidP="009E0EC2">
      <w:pPr>
        <w:pStyle w:val="Default"/>
        <w:tabs>
          <w:tab w:val="left" w:pos="2490"/>
        </w:tabs>
        <w:rPr>
          <w:rFonts w:asciiTheme="minorHAnsi" w:hAnsiTheme="minorHAnsi"/>
          <w:b/>
          <w:bCs/>
        </w:rPr>
      </w:pPr>
      <w:r w:rsidRPr="00267FD3">
        <w:rPr>
          <w:rFonts w:asciiTheme="minorHAnsi" w:hAnsiTheme="minorHAnsi"/>
          <w:b/>
          <w:bCs/>
        </w:rPr>
        <w:tab/>
      </w:r>
    </w:p>
    <w:p w14:paraId="6E47B0F0" w14:textId="77777777" w:rsidR="00791053" w:rsidRPr="00267FD3" w:rsidRDefault="00791053" w:rsidP="00561040">
      <w:pPr>
        <w:pStyle w:val="Default"/>
        <w:rPr>
          <w:rFonts w:asciiTheme="minorHAnsi" w:hAnsiTheme="minorHAnsi"/>
          <w:b/>
          <w:bCs/>
          <w:sz w:val="28"/>
          <w:szCs w:val="28"/>
        </w:rPr>
      </w:pPr>
      <w:r w:rsidRPr="00267FD3">
        <w:rPr>
          <w:rFonts w:asciiTheme="minorHAnsi" w:hAnsiTheme="minorHAnsi"/>
          <w:b/>
          <w:bCs/>
          <w:sz w:val="28"/>
          <w:szCs w:val="28"/>
        </w:rPr>
        <w:t>Terms and Conditions</w:t>
      </w:r>
    </w:p>
    <w:p w14:paraId="4F5BEA63" w14:textId="77777777" w:rsidR="00791053" w:rsidRPr="00267FD3" w:rsidRDefault="00791053" w:rsidP="00561040">
      <w:pPr>
        <w:pStyle w:val="Default"/>
        <w:rPr>
          <w:rFonts w:asciiTheme="minorHAnsi" w:hAnsiTheme="minorHAnsi"/>
          <w:b/>
          <w:bCs/>
        </w:rPr>
      </w:pPr>
    </w:p>
    <w:p w14:paraId="143BB3E8" w14:textId="77777777" w:rsidR="00791053" w:rsidRPr="00267FD3" w:rsidRDefault="00791053" w:rsidP="00561040">
      <w:pPr>
        <w:pStyle w:val="Default"/>
        <w:rPr>
          <w:rFonts w:asciiTheme="minorHAnsi" w:hAnsiTheme="minorHAnsi"/>
          <w:b/>
          <w:bCs/>
        </w:rPr>
      </w:pPr>
    </w:p>
    <w:p w14:paraId="517179E3" w14:textId="77777777" w:rsidR="00791053" w:rsidRPr="00267FD3" w:rsidRDefault="00F10343" w:rsidP="00561040">
      <w:pPr>
        <w:pStyle w:val="Default"/>
        <w:rPr>
          <w:rFonts w:asciiTheme="minorHAnsi" w:hAnsiTheme="minorHAnsi"/>
          <w:b/>
          <w:bCs/>
        </w:rPr>
      </w:pPr>
      <w:r w:rsidRPr="00267FD3">
        <w:rPr>
          <w:rFonts w:asciiTheme="minorHAnsi" w:hAnsiTheme="minorHAnsi"/>
          <w:noProof/>
          <w:lang w:eastAsia="en-GB"/>
        </w:rPr>
        <mc:AlternateContent>
          <mc:Choice Requires="wps">
            <w:drawing>
              <wp:anchor distT="0" distB="0" distL="114300" distR="114300" simplePos="0" relativeHeight="251657216" behindDoc="0" locked="0" layoutInCell="1" allowOverlap="1" wp14:anchorId="67BB1634" wp14:editId="0F4FAA87">
                <wp:simplePos x="0" y="0"/>
                <wp:positionH relativeFrom="column">
                  <wp:posOffset>-93980</wp:posOffset>
                </wp:positionH>
                <wp:positionV relativeFrom="paragraph">
                  <wp:posOffset>1270</wp:posOffset>
                </wp:positionV>
                <wp:extent cx="6706870" cy="0"/>
                <wp:effectExtent l="10795" t="10795" r="16510" b="177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68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DAC79" id="_x0000_t32" coordsize="21600,21600" o:spt="32" o:oned="t" path="m,l21600,21600e" filled="f">
                <v:path arrowok="t" fillok="f" o:connecttype="none"/>
                <o:lock v:ext="edit" shapetype="t"/>
              </v:shapetype>
              <v:shape id="AutoShape 15" o:spid="_x0000_s1026" type="#_x0000_t32" style="position:absolute;margin-left:-7.4pt;margin-top:.1pt;width:528.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Hp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" strokeweight="1.5pt"/>
            </w:pict>
          </mc:Fallback>
        </mc:AlternateContent>
      </w:r>
    </w:p>
    <w:tbl>
      <w:tblPr>
        <w:tblW w:w="0" w:type="auto"/>
        <w:tblLook w:val="00A0" w:firstRow="1" w:lastRow="0" w:firstColumn="1" w:lastColumn="0" w:noHBand="0" w:noVBand="0"/>
      </w:tblPr>
      <w:tblGrid>
        <w:gridCol w:w="5051"/>
        <w:gridCol w:w="5155"/>
      </w:tblGrid>
      <w:tr w:rsidR="00791053" w:rsidRPr="00267FD3" w14:paraId="04616006" w14:textId="77777777">
        <w:trPr>
          <w:trHeight w:val="12284"/>
        </w:trPr>
        <w:tc>
          <w:tcPr>
            <w:tcW w:w="5211" w:type="dxa"/>
          </w:tcPr>
          <w:p w14:paraId="095DD28F" w14:textId="77777777" w:rsidR="00791053" w:rsidRPr="00267FD3" w:rsidRDefault="00791053" w:rsidP="00561040">
            <w:pPr>
              <w:pStyle w:val="Default"/>
              <w:rPr>
                <w:rFonts w:asciiTheme="minorHAnsi" w:hAnsiTheme="minorHAnsi"/>
                <w:b/>
                <w:bCs/>
                <w:sz w:val="28"/>
                <w:szCs w:val="28"/>
              </w:rPr>
            </w:pPr>
            <w:r w:rsidRPr="00267FD3">
              <w:rPr>
                <w:rFonts w:asciiTheme="minorHAnsi" w:hAnsiTheme="minorHAnsi"/>
                <w:b/>
                <w:bCs/>
                <w:sz w:val="28"/>
                <w:szCs w:val="28"/>
              </w:rPr>
              <w:t>Applying for a Loan</w:t>
            </w:r>
          </w:p>
          <w:p w14:paraId="6F636A4C" w14:textId="77777777" w:rsidR="00791053" w:rsidRPr="00267FD3" w:rsidRDefault="00791053" w:rsidP="00561040">
            <w:pPr>
              <w:pStyle w:val="Default"/>
              <w:rPr>
                <w:rFonts w:asciiTheme="minorHAnsi" w:hAnsiTheme="minorHAnsi"/>
                <w:b/>
                <w:bCs/>
                <w:sz w:val="18"/>
                <w:szCs w:val="18"/>
                <w:lang w:eastAsia="en-GB"/>
              </w:rPr>
            </w:pPr>
          </w:p>
          <w:p w14:paraId="53F1E835" w14:textId="77777777" w:rsidR="00791053" w:rsidRPr="00267FD3" w:rsidRDefault="00791053" w:rsidP="0089682B">
            <w:pPr>
              <w:pStyle w:val="ListParagraph"/>
              <w:numPr>
                <w:ilvl w:val="0"/>
                <w:numId w:val="4"/>
              </w:numPr>
              <w:autoSpaceDE w:val="0"/>
              <w:autoSpaceDN w:val="0"/>
              <w:adjustRightInd w:val="0"/>
              <w:spacing w:after="0" w:line="240" w:lineRule="auto"/>
              <w:ind w:left="284" w:hanging="284"/>
              <w:rPr>
                <w:rFonts w:asciiTheme="minorHAnsi" w:hAnsiTheme="minorHAnsi" w:cs="SerifaBEFOP-Medium"/>
              </w:rPr>
            </w:pPr>
            <w:r w:rsidRPr="00267FD3">
              <w:rPr>
                <w:rFonts w:asciiTheme="minorHAnsi" w:hAnsiTheme="minorHAnsi" w:cs="SerifaBEFOP-Medium"/>
              </w:rPr>
              <w:t xml:space="preserve">Loans are available to assist eligible employees of the University </w:t>
            </w:r>
            <w:r w:rsidR="00F6763F" w:rsidRPr="00267FD3">
              <w:rPr>
                <w:rFonts w:asciiTheme="minorHAnsi" w:hAnsiTheme="minorHAnsi" w:cs="SerifaBEFOP-Medium"/>
              </w:rPr>
              <w:t xml:space="preserve">with </w:t>
            </w:r>
            <w:r w:rsidR="00267FD3">
              <w:rPr>
                <w:rFonts w:asciiTheme="minorHAnsi" w:hAnsiTheme="minorHAnsi" w:cs="SerifaBEFOP-Medium"/>
              </w:rPr>
              <w:t>re</w:t>
            </w:r>
            <w:r w:rsidR="00F6763F" w:rsidRPr="00267FD3">
              <w:rPr>
                <w:rFonts w:asciiTheme="minorHAnsi" w:hAnsiTheme="minorHAnsi" w:cs="SerifaBEFOP-Medium"/>
              </w:rPr>
              <w:t xml:space="preserve">paying the </w:t>
            </w:r>
            <w:r w:rsidR="00267FD3">
              <w:rPr>
                <w:rFonts w:asciiTheme="minorHAnsi" w:hAnsiTheme="minorHAnsi" w:cs="SerifaBEFOP-Medium"/>
              </w:rPr>
              <w:t xml:space="preserve">incurred </w:t>
            </w:r>
            <w:r w:rsidR="00F6763F" w:rsidRPr="00267FD3">
              <w:rPr>
                <w:rFonts w:asciiTheme="minorHAnsi" w:hAnsiTheme="minorHAnsi" w:cs="SerifaBEFOP-Medium"/>
              </w:rPr>
              <w:t xml:space="preserve">costs </w:t>
            </w:r>
            <w:r w:rsidR="002C5603">
              <w:rPr>
                <w:rFonts w:asciiTheme="minorHAnsi" w:hAnsiTheme="minorHAnsi" w:cs="SerifaBEFOP-Medium"/>
              </w:rPr>
              <w:t>of the ILR visa for the employee,</w:t>
            </w:r>
            <w:r w:rsidR="006C300F" w:rsidRPr="00267FD3">
              <w:rPr>
                <w:rFonts w:asciiTheme="minorHAnsi" w:hAnsiTheme="minorHAnsi" w:cs="SerifaBEFOP-Medium"/>
              </w:rPr>
              <w:t xml:space="preserve"> and</w:t>
            </w:r>
            <w:r w:rsidR="006078E1">
              <w:rPr>
                <w:rFonts w:asciiTheme="minorHAnsi" w:hAnsiTheme="minorHAnsi" w:cs="SerifaBEFOP-Medium"/>
              </w:rPr>
              <w:t xml:space="preserve"> visa, </w:t>
            </w:r>
            <w:r w:rsidR="006C300F" w:rsidRPr="00267FD3">
              <w:rPr>
                <w:rFonts w:asciiTheme="minorHAnsi" w:hAnsiTheme="minorHAnsi" w:cs="SerifaBEFOP-Medium"/>
              </w:rPr>
              <w:t>immigrant health</w:t>
            </w:r>
            <w:r w:rsidR="006078E1">
              <w:rPr>
                <w:rFonts w:asciiTheme="minorHAnsi" w:hAnsiTheme="minorHAnsi" w:cs="SerifaBEFOP-Medium"/>
              </w:rPr>
              <w:t xml:space="preserve"> surcharge and ILR visa</w:t>
            </w:r>
            <w:r w:rsidR="00F6763F" w:rsidRPr="00267FD3">
              <w:rPr>
                <w:rFonts w:asciiTheme="minorHAnsi" w:hAnsiTheme="minorHAnsi" w:cs="SerifaBEFOP-Medium"/>
              </w:rPr>
              <w:t xml:space="preserve"> </w:t>
            </w:r>
            <w:r w:rsidR="002C5603">
              <w:rPr>
                <w:rFonts w:asciiTheme="minorHAnsi" w:hAnsiTheme="minorHAnsi" w:cs="SerifaBEFOP-Medium"/>
              </w:rPr>
              <w:t xml:space="preserve">costs for </w:t>
            </w:r>
            <w:r w:rsidR="00F6763F" w:rsidRPr="00267FD3">
              <w:rPr>
                <w:rFonts w:asciiTheme="minorHAnsi" w:hAnsiTheme="minorHAnsi" w:cs="SerifaBEFOP-Medium"/>
              </w:rPr>
              <w:t>any dependants.</w:t>
            </w:r>
            <w:r w:rsidR="00AA5FC3">
              <w:rPr>
                <w:rFonts w:asciiTheme="minorHAnsi" w:hAnsiTheme="minorHAnsi" w:cs="SerifaBEFOP-Medium"/>
              </w:rPr>
              <w:t xml:space="preserve">  Original receipts must be provided.</w:t>
            </w:r>
          </w:p>
          <w:p w14:paraId="02662A2D" w14:textId="77777777" w:rsidR="00791053" w:rsidRPr="00267FD3" w:rsidRDefault="00791053" w:rsidP="0089682B">
            <w:pPr>
              <w:autoSpaceDE w:val="0"/>
              <w:autoSpaceDN w:val="0"/>
              <w:adjustRightInd w:val="0"/>
              <w:spacing w:after="0" w:line="240" w:lineRule="auto"/>
              <w:ind w:left="284" w:hanging="284"/>
              <w:rPr>
                <w:rFonts w:asciiTheme="minorHAnsi" w:hAnsiTheme="minorHAnsi" w:cs="SerifaBEFOP-Medium"/>
              </w:rPr>
            </w:pPr>
          </w:p>
          <w:p w14:paraId="246CA98F" w14:textId="77777777" w:rsidR="00791053" w:rsidRPr="00267FD3" w:rsidRDefault="00791053" w:rsidP="00D73736">
            <w:pPr>
              <w:pStyle w:val="ListParagraph"/>
              <w:numPr>
                <w:ilvl w:val="0"/>
                <w:numId w:val="4"/>
              </w:numPr>
              <w:autoSpaceDE w:val="0"/>
              <w:autoSpaceDN w:val="0"/>
              <w:adjustRightInd w:val="0"/>
              <w:spacing w:after="0" w:line="240" w:lineRule="auto"/>
              <w:ind w:left="284" w:hanging="284"/>
              <w:rPr>
                <w:rFonts w:asciiTheme="minorHAnsi" w:hAnsiTheme="minorHAnsi" w:cs="SerifaBEFOP-Medium"/>
              </w:rPr>
            </w:pPr>
            <w:r w:rsidRPr="00267FD3">
              <w:rPr>
                <w:rFonts w:asciiTheme="minorHAnsi" w:hAnsiTheme="minorHAnsi" w:cs="SerifaBEFOP-Medium"/>
              </w:rPr>
              <w:t xml:space="preserve">The maximum loan </w:t>
            </w:r>
            <w:r w:rsidR="002C5603">
              <w:rPr>
                <w:rFonts w:asciiTheme="minorHAnsi" w:hAnsiTheme="minorHAnsi" w:cs="SerifaBEFOP-Medium"/>
              </w:rPr>
              <w:t>available to an employee to assist with paying</w:t>
            </w:r>
            <w:r w:rsidR="00FE5AF8" w:rsidRPr="00267FD3">
              <w:rPr>
                <w:rFonts w:asciiTheme="minorHAnsi" w:hAnsiTheme="minorHAnsi" w:cs="SerifaBEFOP-Medium"/>
              </w:rPr>
              <w:t xml:space="preserve"> for the</w:t>
            </w:r>
            <w:r w:rsidR="002C5603">
              <w:rPr>
                <w:rFonts w:asciiTheme="minorHAnsi" w:hAnsiTheme="minorHAnsi" w:cs="SerifaBEFOP-Medium"/>
              </w:rPr>
              <w:t>ir ILR visa</w:t>
            </w:r>
            <w:r w:rsidR="00063491">
              <w:rPr>
                <w:rFonts w:asciiTheme="minorHAnsi" w:hAnsiTheme="minorHAnsi" w:cs="SerifaBEFOP-Medium"/>
              </w:rPr>
              <w:t>,</w:t>
            </w:r>
            <w:r w:rsidR="002C5603">
              <w:rPr>
                <w:rFonts w:asciiTheme="minorHAnsi" w:hAnsiTheme="minorHAnsi" w:cs="SerifaBEFOP-Medium"/>
              </w:rPr>
              <w:t xml:space="preserve"> and</w:t>
            </w:r>
            <w:r w:rsidR="00FE5AF8" w:rsidRPr="00267FD3">
              <w:rPr>
                <w:rFonts w:asciiTheme="minorHAnsi" w:hAnsiTheme="minorHAnsi" w:cs="SerifaBEFOP-Medium"/>
              </w:rPr>
              <w:t xml:space="preserve"> </w:t>
            </w:r>
            <w:r w:rsidR="0078164C">
              <w:rPr>
                <w:rFonts w:asciiTheme="minorHAnsi" w:hAnsiTheme="minorHAnsi" w:cs="SerifaBEFOP-Medium"/>
              </w:rPr>
              <w:t xml:space="preserve">the </w:t>
            </w:r>
            <w:r w:rsidR="006078E1">
              <w:rPr>
                <w:rFonts w:asciiTheme="minorHAnsi" w:hAnsiTheme="minorHAnsi" w:cs="SerifaBEFOP-Medium"/>
              </w:rPr>
              <w:t xml:space="preserve">visa, </w:t>
            </w:r>
            <w:r w:rsidR="002C5603">
              <w:rPr>
                <w:rFonts w:asciiTheme="minorHAnsi" w:hAnsiTheme="minorHAnsi" w:cs="SerifaBEFOP-Medium"/>
              </w:rPr>
              <w:t xml:space="preserve">immigration health surcharge </w:t>
            </w:r>
            <w:r w:rsidR="006078E1">
              <w:rPr>
                <w:rFonts w:asciiTheme="minorHAnsi" w:hAnsiTheme="minorHAnsi" w:cs="SerifaBEFOP-Medium"/>
              </w:rPr>
              <w:t xml:space="preserve">and ILR visa </w:t>
            </w:r>
            <w:r w:rsidR="00FE5AF8" w:rsidRPr="00267FD3">
              <w:rPr>
                <w:rFonts w:asciiTheme="minorHAnsi" w:hAnsiTheme="minorHAnsi" w:cs="SerifaBEFOP-Medium"/>
              </w:rPr>
              <w:t xml:space="preserve">costs </w:t>
            </w:r>
            <w:r w:rsidR="006C300F" w:rsidRPr="00267FD3">
              <w:rPr>
                <w:rFonts w:asciiTheme="minorHAnsi" w:hAnsiTheme="minorHAnsi" w:cs="SerifaBEFOP-Medium"/>
              </w:rPr>
              <w:t>of any depend</w:t>
            </w:r>
            <w:r w:rsidR="002C5603">
              <w:rPr>
                <w:rFonts w:asciiTheme="minorHAnsi" w:hAnsiTheme="minorHAnsi" w:cs="SerifaBEFOP-Medium"/>
              </w:rPr>
              <w:t xml:space="preserve">ant’s is </w:t>
            </w:r>
            <w:r w:rsidR="006C300F" w:rsidRPr="00267FD3">
              <w:rPr>
                <w:rFonts w:asciiTheme="minorHAnsi" w:hAnsiTheme="minorHAnsi" w:cs="SerifaBEFOP-Medium"/>
              </w:rPr>
              <w:t>£4,000 for appointments</w:t>
            </w:r>
            <w:r w:rsidR="00063491">
              <w:rPr>
                <w:rFonts w:asciiTheme="minorHAnsi" w:hAnsiTheme="minorHAnsi" w:cs="SerifaBEFOP-Medium"/>
              </w:rPr>
              <w:t xml:space="preserve"> from 6 months to 2 years and £10</w:t>
            </w:r>
            <w:r w:rsidR="006C300F" w:rsidRPr="00267FD3">
              <w:rPr>
                <w:rFonts w:asciiTheme="minorHAnsi" w:hAnsiTheme="minorHAnsi" w:cs="SerifaBEFOP-Medium"/>
              </w:rPr>
              <w:t>,000 for appointments over 2 years</w:t>
            </w:r>
            <w:r w:rsidR="00FE5AF8" w:rsidRPr="00267FD3">
              <w:rPr>
                <w:rFonts w:asciiTheme="minorHAnsi" w:hAnsiTheme="minorHAnsi" w:cs="SerifaBEFOP-Medium"/>
              </w:rPr>
              <w:t>.</w:t>
            </w:r>
            <w:r w:rsidR="00595157" w:rsidRPr="00267FD3">
              <w:rPr>
                <w:rFonts w:asciiTheme="minorHAnsi" w:hAnsiTheme="minorHAnsi" w:cs="SerifaBEFOP-Medium"/>
              </w:rPr>
              <w:t xml:space="preserve"> Loans up to £4,000 are pay</w:t>
            </w:r>
            <w:r w:rsidR="00063491">
              <w:rPr>
                <w:rFonts w:asciiTheme="minorHAnsi" w:hAnsiTheme="minorHAnsi" w:cs="SerifaBEFOP-Medium"/>
              </w:rPr>
              <w:t>able over 12 months and up to £10</w:t>
            </w:r>
            <w:r w:rsidR="00595157" w:rsidRPr="00267FD3">
              <w:rPr>
                <w:rFonts w:asciiTheme="minorHAnsi" w:hAnsiTheme="minorHAnsi" w:cs="SerifaBEFOP-Medium"/>
              </w:rPr>
              <w:t>,000 over 24 months.</w:t>
            </w:r>
            <w:r w:rsidR="0078164C">
              <w:rPr>
                <w:rFonts w:asciiTheme="minorHAnsi" w:hAnsiTheme="minorHAnsi" w:cs="SerifaBEFOP-Medium"/>
              </w:rPr>
              <w:t xml:space="preserve"> Please note that the maximum loan amount of £10.000 includes any other loans you may have with the University, for example, an annual season ticket loan.</w:t>
            </w:r>
          </w:p>
          <w:p w14:paraId="77B1A90B" w14:textId="77777777" w:rsidR="00791053" w:rsidRPr="00267FD3" w:rsidRDefault="00791053" w:rsidP="00D73736">
            <w:pPr>
              <w:pStyle w:val="ListParagraph"/>
              <w:autoSpaceDE w:val="0"/>
              <w:autoSpaceDN w:val="0"/>
              <w:adjustRightInd w:val="0"/>
              <w:spacing w:after="0" w:line="240" w:lineRule="auto"/>
              <w:ind w:left="0"/>
              <w:rPr>
                <w:rFonts w:asciiTheme="minorHAnsi" w:hAnsiTheme="minorHAnsi" w:cs="SerifaBEFOP-Medium"/>
              </w:rPr>
            </w:pPr>
          </w:p>
          <w:p w14:paraId="75AEF085" w14:textId="77777777" w:rsidR="00791053" w:rsidRPr="00267FD3" w:rsidRDefault="00791053" w:rsidP="0089682B">
            <w:pPr>
              <w:pStyle w:val="ListParagraph"/>
              <w:numPr>
                <w:ilvl w:val="0"/>
                <w:numId w:val="4"/>
              </w:numPr>
              <w:autoSpaceDE w:val="0"/>
              <w:autoSpaceDN w:val="0"/>
              <w:adjustRightInd w:val="0"/>
              <w:spacing w:after="0" w:line="240" w:lineRule="auto"/>
              <w:ind w:left="284" w:hanging="284"/>
              <w:rPr>
                <w:rFonts w:asciiTheme="minorHAnsi" w:hAnsiTheme="minorHAnsi" w:cs="SerifaBEFOP-Medium"/>
              </w:rPr>
            </w:pPr>
            <w:r w:rsidRPr="00267FD3">
              <w:rPr>
                <w:rFonts w:asciiTheme="minorHAnsi" w:hAnsiTheme="minorHAnsi" w:cs="SerifaBEFOP-Medium"/>
              </w:rPr>
              <w:t xml:space="preserve">Before granting a loan the University may, at its discretion, require applicants to provide: </w:t>
            </w:r>
          </w:p>
          <w:p w14:paraId="534E2350" w14:textId="77777777" w:rsidR="00791053" w:rsidRPr="00267FD3" w:rsidRDefault="00791053" w:rsidP="0089682B">
            <w:pPr>
              <w:pStyle w:val="ListParagraph"/>
              <w:autoSpaceDE w:val="0"/>
              <w:autoSpaceDN w:val="0"/>
              <w:adjustRightInd w:val="0"/>
              <w:spacing w:after="0" w:line="240" w:lineRule="auto"/>
              <w:ind w:hanging="720"/>
              <w:rPr>
                <w:rFonts w:asciiTheme="minorHAnsi" w:hAnsiTheme="minorHAnsi" w:cs="SerifaBEFOP-Medium"/>
              </w:rPr>
            </w:pPr>
          </w:p>
          <w:p w14:paraId="77AD9DC9" w14:textId="77777777" w:rsidR="00791053" w:rsidRPr="00267FD3" w:rsidRDefault="00791053" w:rsidP="0089682B">
            <w:pPr>
              <w:pStyle w:val="ListParagraph"/>
              <w:numPr>
                <w:ilvl w:val="0"/>
                <w:numId w:val="9"/>
              </w:numPr>
              <w:autoSpaceDE w:val="0"/>
              <w:autoSpaceDN w:val="0"/>
              <w:adjustRightInd w:val="0"/>
              <w:spacing w:after="0" w:line="240" w:lineRule="auto"/>
              <w:ind w:left="709" w:hanging="295"/>
              <w:rPr>
                <w:rFonts w:asciiTheme="minorHAnsi" w:hAnsiTheme="minorHAnsi" w:cs="SerifaBEFOP-Medium"/>
              </w:rPr>
            </w:pPr>
            <w:r w:rsidRPr="00267FD3">
              <w:rPr>
                <w:rFonts w:asciiTheme="minorHAnsi" w:hAnsiTheme="minorHAnsi" w:cs="SerifaBEFOP-Medium"/>
              </w:rPr>
              <w:t xml:space="preserve">proof as to the affordability of the loan repayments the applicant would be required to make if the loan was granted. </w:t>
            </w:r>
          </w:p>
          <w:p w14:paraId="5A8B0D2C" w14:textId="77777777" w:rsidR="00791053" w:rsidRPr="00267FD3" w:rsidRDefault="00791053" w:rsidP="0089682B">
            <w:pPr>
              <w:pStyle w:val="ListParagraph"/>
              <w:numPr>
                <w:ilvl w:val="0"/>
                <w:numId w:val="9"/>
              </w:numPr>
              <w:autoSpaceDE w:val="0"/>
              <w:autoSpaceDN w:val="0"/>
              <w:adjustRightInd w:val="0"/>
              <w:spacing w:after="0" w:line="240" w:lineRule="auto"/>
              <w:ind w:left="709" w:hanging="295"/>
              <w:rPr>
                <w:rFonts w:asciiTheme="minorHAnsi" w:hAnsiTheme="minorHAnsi" w:cs="SerifaBEFOP-Medium"/>
              </w:rPr>
            </w:pPr>
            <w:r w:rsidRPr="00267FD3">
              <w:rPr>
                <w:rFonts w:asciiTheme="minorHAnsi" w:hAnsiTheme="minorHAnsi" w:cs="SerifaBEFOP-Medium"/>
              </w:rPr>
              <w:t>security to indemnify the University against loss arising from failure to repay the loan.</w:t>
            </w:r>
          </w:p>
          <w:p w14:paraId="23853338" w14:textId="77777777" w:rsidR="00791053" w:rsidRPr="00267FD3" w:rsidRDefault="00791053" w:rsidP="0089682B">
            <w:pPr>
              <w:pStyle w:val="ListParagraph"/>
              <w:autoSpaceDE w:val="0"/>
              <w:autoSpaceDN w:val="0"/>
              <w:adjustRightInd w:val="0"/>
              <w:spacing w:after="0" w:line="240" w:lineRule="auto"/>
              <w:ind w:left="1134" w:hanging="720"/>
              <w:rPr>
                <w:rFonts w:asciiTheme="minorHAnsi" w:hAnsiTheme="minorHAnsi" w:cs="SerifaBEFOP-Medium"/>
              </w:rPr>
            </w:pPr>
          </w:p>
          <w:p w14:paraId="480AA3D7" w14:textId="77777777" w:rsidR="00791053" w:rsidRPr="00267FD3" w:rsidRDefault="00791053" w:rsidP="0089682B">
            <w:pPr>
              <w:pStyle w:val="ListParagraph"/>
              <w:numPr>
                <w:ilvl w:val="0"/>
                <w:numId w:val="4"/>
              </w:numPr>
              <w:autoSpaceDE w:val="0"/>
              <w:autoSpaceDN w:val="0"/>
              <w:adjustRightInd w:val="0"/>
              <w:spacing w:after="0" w:line="240" w:lineRule="auto"/>
              <w:ind w:left="284" w:hanging="284"/>
              <w:rPr>
                <w:rFonts w:asciiTheme="minorHAnsi" w:hAnsiTheme="minorHAnsi" w:cs="SerifaBEFOP-Medium"/>
              </w:rPr>
            </w:pPr>
            <w:r w:rsidRPr="00267FD3">
              <w:rPr>
                <w:rFonts w:asciiTheme="minorHAnsi" w:hAnsiTheme="minorHAnsi" w:cs="SerifaBEFOP-Medium"/>
              </w:rPr>
              <w:t xml:space="preserve">Provision of inaccurate information or failure to disclose to the University information which, if known, may have influenced the decision as to whether to grant a loan will disqualify the employee’s application. It will also result in cancellation of any loans already granted to the employee with full repayment of all outstanding balances being required immediately. It may also result in the University considering whether more formal action is appropriate. </w:t>
            </w:r>
          </w:p>
          <w:p w14:paraId="5B3C474B" w14:textId="77777777" w:rsidR="00791053" w:rsidRPr="00267FD3" w:rsidRDefault="00791053" w:rsidP="0089682B">
            <w:pPr>
              <w:pStyle w:val="ListParagraph"/>
              <w:autoSpaceDE w:val="0"/>
              <w:autoSpaceDN w:val="0"/>
              <w:adjustRightInd w:val="0"/>
              <w:spacing w:after="0" w:line="240" w:lineRule="auto"/>
              <w:ind w:left="284" w:hanging="284"/>
              <w:rPr>
                <w:rFonts w:asciiTheme="minorHAnsi" w:hAnsiTheme="minorHAnsi" w:cs="SerifaBEFOP-Medium"/>
              </w:rPr>
            </w:pPr>
          </w:p>
          <w:p w14:paraId="3288006F" w14:textId="77777777" w:rsidR="00791053" w:rsidRPr="00267FD3" w:rsidRDefault="00791053" w:rsidP="0089682B">
            <w:pPr>
              <w:pStyle w:val="ListParagraph"/>
              <w:numPr>
                <w:ilvl w:val="0"/>
                <w:numId w:val="4"/>
              </w:numPr>
              <w:autoSpaceDE w:val="0"/>
              <w:autoSpaceDN w:val="0"/>
              <w:adjustRightInd w:val="0"/>
              <w:spacing w:after="0" w:line="240" w:lineRule="auto"/>
              <w:ind w:left="284" w:hanging="284"/>
              <w:rPr>
                <w:rFonts w:asciiTheme="minorHAnsi" w:hAnsiTheme="minorHAnsi" w:cs="SerifaBEFOP-Medium"/>
              </w:rPr>
            </w:pPr>
            <w:r w:rsidRPr="00267FD3">
              <w:rPr>
                <w:rFonts w:asciiTheme="minorHAnsi" w:hAnsiTheme="minorHAnsi" w:cs="SerifaBEFOP-Medium"/>
              </w:rPr>
              <w:t>The University reserves the right to refuse any application for a loan.</w:t>
            </w:r>
          </w:p>
          <w:p w14:paraId="2685634A" w14:textId="77777777" w:rsidR="00791053" w:rsidRPr="00267FD3" w:rsidRDefault="00791053" w:rsidP="0089682B">
            <w:pPr>
              <w:pStyle w:val="ListParagraph"/>
              <w:spacing w:after="0" w:line="240" w:lineRule="auto"/>
              <w:rPr>
                <w:rFonts w:asciiTheme="minorHAnsi" w:hAnsiTheme="minorHAnsi" w:cs="SerifaBEFOP-Medium"/>
                <w:sz w:val="16"/>
                <w:szCs w:val="16"/>
              </w:rPr>
            </w:pPr>
          </w:p>
          <w:p w14:paraId="663ED3DD" w14:textId="77777777" w:rsidR="002D0841" w:rsidRDefault="002D0841" w:rsidP="0089682B">
            <w:pPr>
              <w:autoSpaceDE w:val="0"/>
              <w:autoSpaceDN w:val="0"/>
              <w:adjustRightInd w:val="0"/>
              <w:spacing w:after="0" w:line="240" w:lineRule="auto"/>
              <w:rPr>
                <w:rFonts w:asciiTheme="minorHAnsi" w:hAnsiTheme="minorHAnsi" w:cs="SerifaBEFOP-Medium"/>
                <w:b/>
                <w:bCs/>
                <w:sz w:val="28"/>
                <w:szCs w:val="28"/>
              </w:rPr>
            </w:pPr>
          </w:p>
          <w:p w14:paraId="1352B827" w14:textId="77777777" w:rsidR="002D0841" w:rsidRDefault="002D0841" w:rsidP="0089682B">
            <w:pPr>
              <w:autoSpaceDE w:val="0"/>
              <w:autoSpaceDN w:val="0"/>
              <w:adjustRightInd w:val="0"/>
              <w:spacing w:after="0" w:line="240" w:lineRule="auto"/>
              <w:rPr>
                <w:rFonts w:asciiTheme="minorHAnsi" w:hAnsiTheme="minorHAnsi" w:cs="SerifaBEFOP-Medium"/>
                <w:b/>
                <w:bCs/>
                <w:sz w:val="28"/>
                <w:szCs w:val="28"/>
              </w:rPr>
            </w:pPr>
          </w:p>
          <w:p w14:paraId="676F751A" w14:textId="77777777" w:rsidR="002D0841" w:rsidRDefault="002D0841" w:rsidP="0089682B">
            <w:pPr>
              <w:autoSpaceDE w:val="0"/>
              <w:autoSpaceDN w:val="0"/>
              <w:adjustRightInd w:val="0"/>
              <w:spacing w:after="0" w:line="240" w:lineRule="auto"/>
              <w:rPr>
                <w:rFonts w:asciiTheme="minorHAnsi" w:hAnsiTheme="minorHAnsi" w:cs="SerifaBEFOP-Medium"/>
                <w:b/>
                <w:bCs/>
                <w:sz w:val="28"/>
                <w:szCs w:val="28"/>
              </w:rPr>
            </w:pPr>
          </w:p>
          <w:p w14:paraId="39EC447B" w14:textId="77777777" w:rsidR="00791053" w:rsidRPr="00267FD3" w:rsidRDefault="00791053" w:rsidP="0089682B">
            <w:pPr>
              <w:autoSpaceDE w:val="0"/>
              <w:autoSpaceDN w:val="0"/>
              <w:adjustRightInd w:val="0"/>
              <w:spacing w:after="0" w:line="240" w:lineRule="auto"/>
              <w:rPr>
                <w:rFonts w:asciiTheme="minorHAnsi" w:hAnsiTheme="minorHAnsi" w:cs="SerifaBEFOP-Medium"/>
                <w:b/>
                <w:bCs/>
                <w:sz w:val="28"/>
                <w:szCs w:val="28"/>
              </w:rPr>
            </w:pPr>
            <w:r w:rsidRPr="00267FD3">
              <w:rPr>
                <w:rFonts w:asciiTheme="minorHAnsi" w:hAnsiTheme="minorHAnsi" w:cs="SerifaBEFOP-Medium"/>
                <w:b/>
                <w:bCs/>
                <w:sz w:val="28"/>
                <w:szCs w:val="28"/>
              </w:rPr>
              <w:t>Interest</w:t>
            </w:r>
          </w:p>
          <w:p w14:paraId="380BFAF3" w14:textId="77777777" w:rsidR="00791053" w:rsidRPr="00267FD3" w:rsidRDefault="00791053" w:rsidP="0089682B">
            <w:pPr>
              <w:autoSpaceDE w:val="0"/>
              <w:autoSpaceDN w:val="0"/>
              <w:adjustRightInd w:val="0"/>
              <w:spacing w:after="0" w:line="240" w:lineRule="auto"/>
              <w:rPr>
                <w:rFonts w:asciiTheme="minorHAnsi" w:hAnsiTheme="minorHAnsi" w:cs="SerifaBEFOP-Medium"/>
                <w:b/>
                <w:bCs/>
                <w:sz w:val="18"/>
                <w:szCs w:val="18"/>
              </w:rPr>
            </w:pPr>
          </w:p>
          <w:p w14:paraId="3EA71511" w14:textId="77777777" w:rsidR="00791053" w:rsidRPr="00267FD3" w:rsidRDefault="00791053" w:rsidP="0089682B">
            <w:pPr>
              <w:autoSpaceDE w:val="0"/>
              <w:autoSpaceDN w:val="0"/>
              <w:adjustRightInd w:val="0"/>
              <w:spacing w:after="0" w:line="240" w:lineRule="auto"/>
              <w:rPr>
                <w:rFonts w:asciiTheme="minorHAnsi" w:hAnsiTheme="minorHAnsi" w:cs="SerifaBEFOP-Medium"/>
              </w:rPr>
            </w:pPr>
            <w:r w:rsidRPr="00267FD3">
              <w:rPr>
                <w:rFonts w:asciiTheme="minorHAnsi" w:hAnsiTheme="minorHAnsi" w:cs="SerifaBEFOP-Medium"/>
              </w:rPr>
              <w:t>Loans are currently interest free. The University reserves the right to review this from time to time and to charge interest on loans at a specified rate.</w:t>
            </w:r>
          </w:p>
          <w:p w14:paraId="2AE01062" w14:textId="77777777" w:rsidR="00791053" w:rsidRPr="00267FD3" w:rsidRDefault="00791053" w:rsidP="009E0EC2">
            <w:pPr>
              <w:autoSpaceDE w:val="0"/>
              <w:autoSpaceDN w:val="0"/>
              <w:adjustRightInd w:val="0"/>
              <w:spacing w:after="0" w:line="240" w:lineRule="auto"/>
              <w:rPr>
                <w:rFonts w:asciiTheme="minorHAnsi" w:hAnsiTheme="minorHAnsi" w:cs="SerifaBEFOP-Medium"/>
                <w:b/>
                <w:bCs/>
                <w:sz w:val="18"/>
                <w:szCs w:val="18"/>
                <w:lang w:eastAsia="en-GB"/>
              </w:rPr>
            </w:pPr>
          </w:p>
        </w:tc>
        <w:tc>
          <w:tcPr>
            <w:tcW w:w="5211" w:type="dxa"/>
          </w:tcPr>
          <w:p w14:paraId="70E145F5" w14:textId="77777777" w:rsidR="00791053" w:rsidRPr="00267FD3" w:rsidRDefault="00791053" w:rsidP="00267FD3">
            <w:pPr>
              <w:autoSpaceDE w:val="0"/>
              <w:autoSpaceDN w:val="0"/>
              <w:adjustRightInd w:val="0"/>
              <w:spacing w:after="0" w:line="240" w:lineRule="auto"/>
              <w:ind w:left="360"/>
              <w:rPr>
                <w:rFonts w:asciiTheme="minorHAnsi" w:hAnsiTheme="minorHAnsi" w:cs="SerifaBEFOP-Medium"/>
                <w:vanish/>
                <w:color w:val="000000"/>
                <w:sz w:val="16"/>
                <w:szCs w:val="16"/>
                <w:lang w:eastAsia="en-GB"/>
              </w:rPr>
            </w:pPr>
          </w:p>
          <w:p w14:paraId="0D45B75A" w14:textId="77777777" w:rsidR="00267FD3" w:rsidRDefault="00267FD3" w:rsidP="00267FD3">
            <w:pPr>
              <w:autoSpaceDE w:val="0"/>
              <w:autoSpaceDN w:val="0"/>
              <w:adjustRightInd w:val="0"/>
              <w:spacing w:after="0" w:line="240" w:lineRule="auto"/>
              <w:rPr>
                <w:rFonts w:asciiTheme="minorHAnsi" w:hAnsiTheme="minorHAnsi" w:cs="SerifaBEFOP-Medium"/>
                <w:b/>
                <w:bCs/>
                <w:sz w:val="28"/>
                <w:szCs w:val="28"/>
              </w:rPr>
            </w:pPr>
            <w:r w:rsidRPr="00267FD3">
              <w:rPr>
                <w:rFonts w:asciiTheme="minorHAnsi" w:hAnsiTheme="minorHAnsi" w:cs="SerifaBEFOP-Medium"/>
                <w:b/>
                <w:bCs/>
                <w:sz w:val="28"/>
                <w:szCs w:val="28"/>
              </w:rPr>
              <w:t>Repayments</w:t>
            </w:r>
          </w:p>
          <w:p w14:paraId="4697A82D" w14:textId="77777777" w:rsidR="00267FD3" w:rsidRDefault="00267FD3" w:rsidP="00267FD3">
            <w:pPr>
              <w:autoSpaceDE w:val="0"/>
              <w:autoSpaceDN w:val="0"/>
              <w:adjustRightInd w:val="0"/>
              <w:spacing w:after="0" w:line="240" w:lineRule="auto"/>
              <w:rPr>
                <w:rFonts w:asciiTheme="minorHAnsi" w:hAnsiTheme="minorHAnsi" w:cs="SerifaBEFOP-Medium"/>
                <w:b/>
                <w:bCs/>
              </w:rPr>
            </w:pPr>
          </w:p>
          <w:p w14:paraId="431B8DD4" w14:textId="77777777" w:rsidR="00267FD3" w:rsidRPr="00267FD3" w:rsidRDefault="00267FD3" w:rsidP="00267FD3">
            <w:pPr>
              <w:pStyle w:val="ListParagraph"/>
              <w:numPr>
                <w:ilvl w:val="0"/>
                <w:numId w:val="13"/>
              </w:numPr>
              <w:autoSpaceDE w:val="0"/>
              <w:autoSpaceDN w:val="0"/>
              <w:adjustRightInd w:val="0"/>
              <w:spacing w:after="0" w:line="240" w:lineRule="auto"/>
              <w:rPr>
                <w:rFonts w:asciiTheme="minorHAnsi" w:hAnsiTheme="minorHAnsi" w:cs="SerifaBEFOP-Medium"/>
              </w:rPr>
            </w:pPr>
            <w:r w:rsidRPr="00267FD3">
              <w:rPr>
                <w:rFonts w:asciiTheme="minorHAnsi" w:hAnsiTheme="minorHAnsi" w:cs="SerifaBEFOP-Medium"/>
              </w:rPr>
              <w:t xml:space="preserve">Repayment is by deduction of instalments from the employee’s salary or wages. The instalments are 12 or 24 equal monthly instalments. Deductions commence on the first available pay date following approval of the loan. </w:t>
            </w:r>
          </w:p>
          <w:p w14:paraId="131CE2CC" w14:textId="77777777" w:rsidR="00267FD3" w:rsidRPr="00267FD3" w:rsidRDefault="00267FD3" w:rsidP="00267FD3">
            <w:pPr>
              <w:tabs>
                <w:tab w:val="left" w:pos="1845"/>
              </w:tabs>
              <w:autoSpaceDE w:val="0"/>
              <w:autoSpaceDN w:val="0"/>
              <w:adjustRightInd w:val="0"/>
              <w:spacing w:after="0" w:line="240" w:lineRule="auto"/>
              <w:rPr>
                <w:rFonts w:asciiTheme="minorHAnsi" w:hAnsiTheme="minorHAnsi" w:cs="SerifaBEFOP-Medium"/>
              </w:rPr>
            </w:pPr>
            <w:r>
              <w:rPr>
                <w:rFonts w:asciiTheme="minorHAnsi" w:hAnsiTheme="minorHAnsi" w:cs="SerifaBEFOP-Medium"/>
              </w:rPr>
              <w:tab/>
            </w:r>
          </w:p>
          <w:p w14:paraId="56356B59" w14:textId="77777777" w:rsidR="00267FD3" w:rsidRDefault="00267FD3" w:rsidP="00267FD3">
            <w:pPr>
              <w:pStyle w:val="Default"/>
              <w:numPr>
                <w:ilvl w:val="0"/>
                <w:numId w:val="13"/>
              </w:numPr>
              <w:rPr>
                <w:rFonts w:asciiTheme="minorHAnsi" w:hAnsiTheme="minorHAnsi"/>
                <w:sz w:val="22"/>
                <w:szCs w:val="22"/>
                <w:lang w:eastAsia="en-GB"/>
              </w:rPr>
            </w:pPr>
            <w:r w:rsidRPr="00267FD3">
              <w:rPr>
                <w:rFonts w:asciiTheme="minorHAnsi" w:hAnsiTheme="minorHAnsi"/>
                <w:sz w:val="22"/>
                <w:szCs w:val="22"/>
              </w:rPr>
              <w:t>The loan repayment period is determined when the loan is approved and will remain unchanged.</w:t>
            </w:r>
          </w:p>
          <w:p w14:paraId="5A641ADC" w14:textId="77777777" w:rsidR="00267FD3" w:rsidRDefault="00267FD3" w:rsidP="00267FD3">
            <w:pPr>
              <w:pStyle w:val="Default"/>
              <w:ind w:left="720"/>
              <w:rPr>
                <w:rFonts w:asciiTheme="minorHAnsi" w:hAnsiTheme="minorHAnsi"/>
                <w:sz w:val="22"/>
                <w:szCs w:val="22"/>
                <w:lang w:eastAsia="en-GB"/>
              </w:rPr>
            </w:pPr>
          </w:p>
          <w:p w14:paraId="4D67487B" w14:textId="4F9B9FF9" w:rsidR="00791053" w:rsidRPr="00267FD3" w:rsidRDefault="00791053" w:rsidP="00267FD3">
            <w:pPr>
              <w:pStyle w:val="Default"/>
              <w:numPr>
                <w:ilvl w:val="0"/>
                <w:numId w:val="13"/>
              </w:numPr>
              <w:rPr>
                <w:rFonts w:asciiTheme="minorHAnsi" w:hAnsiTheme="minorHAnsi"/>
                <w:sz w:val="22"/>
                <w:szCs w:val="22"/>
                <w:lang w:eastAsia="en-GB"/>
              </w:rPr>
            </w:pPr>
            <w:r w:rsidRPr="00267FD3">
              <w:rPr>
                <w:rFonts w:asciiTheme="minorHAnsi" w:hAnsiTheme="minorHAnsi"/>
                <w:sz w:val="22"/>
                <w:szCs w:val="22"/>
                <w:lang w:eastAsia="en-GB"/>
              </w:rPr>
              <w:t>If an employee leaves the employment of the University before the whole loan has been repaid, the balance of the loan becomes immediately payable and will be deducted from the employee’s fina</w:t>
            </w:r>
            <w:r w:rsidR="00BD633F" w:rsidRPr="00267FD3">
              <w:rPr>
                <w:rFonts w:asciiTheme="minorHAnsi" w:hAnsiTheme="minorHAnsi"/>
                <w:sz w:val="22"/>
                <w:szCs w:val="22"/>
                <w:lang w:eastAsia="en-GB"/>
              </w:rPr>
              <w:t>l monthly salary</w:t>
            </w:r>
            <w:r w:rsidRPr="00267FD3">
              <w:rPr>
                <w:rFonts w:asciiTheme="minorHAnsi" w:hAnsiTheme="minorHAnsi"/>
                <w:sz w:val="22"/>
                <w:szCs w:val="22"/>
                <w:lang w:eastAsia="en-GB"/>
              </w:rPr>
              <w:t>. If the outstanding balance on the loan exceeds the employee’s final pay cheque, the employee is required to pay the full outstanding balance before their last date of employment.</w:t>
            </w:r>
            <w:r w:rsidR="00FE5AF8" w:rsidRPr="00267FD3">
              <w:rPr>
                <w:rFonts w:asciiTheme="minorHAnsi" w:hAnsiTheme="minorHAnsi"/>
                <w:sz w:val="22"/>
                <w:szCs w:val="22"/>
                <w:lang w:eastAsia="en-GB"/>
              </w:rPr>
              <w:t xml:space="preserve"> </w:t>
            </w:r>
            <w:r w:rsidR="00476FEB" w:rsidRPr="00267FD3">
              <w:rPr>
                <w:rFonts w:asciiTheme="minorHAnsi" w:hAnsiTheme="minorHAnsi"/>
                <w:sz w:val="22"/>
                <w:szCs w:val="22"/>
                <w:lang w:eastAsia="en-GB"/>
              </w:rPr>
              <w:t>In the first instance, t</w:t>
            </w:r>
            <w:r w:rsidRPr="00267FD3">
              <w:rPr>
                <w:rFonts w:asciiTheme="minorHAnsi" w:hAnsiTheme="minorHAnsi"/>
                <w:sz w:val="22"/>
                <w:szCs w:val="22"/>
                <w:lang w:eastAsia="en-GB"/>
              </w:rPr>
              <w:t>he employee should cont</w:t>
            </w:r>
            <w:r w:rsidR="00476FEB" w:rsidRPr="00267FD3">
              <w:rPr>
                <w:rFonts w:asciiTheme="minorHAnsi" w:hAnsiTheme="minorHAnsi"/>
                <w:sz w:val="22"/>
                <w:szCs w:val="22"/>
                <w:lang w:eastAsia="en-GB"/>
              </w:rPr>
              <w:t xml:space="preserve">act </w:t>
            </w:r>
            <w:hyperlink r:id="rId6" w:history="1">
              <w:r w:rsidR="0013066A" w:rsidRPr="0022617A">
                <w:rPr>
                  <w:rStyle w:val="Hyperlink"/>
                </w:rPr>
                <w:t>people-od.operations</w:t>
              </w:r>
              <w:r w:rsidR="0013066A" w:rsidRPr="0022617A">
                <w:rPr>
                  <w:rStyle w:val="Hyperlink"/>
                  <w:rFonts w:asciiTheme="minorHAnsi" w:hAnsiTheme="minorHAnsi"/>
                  <w:sz w:val="22"/>
                  <w:szCs w:val="22"/>
                  <w:lang w:eastAsia="en-GB"/>
                </w:rPr>
                <w:t>@manchester.ac.uk</w:t>
              </w:r>
            </w:hyperlink>
            <w:r w:rsidR="00476FEB" w:rsidRPr="00267FD3">
              <w:rPr>
                <w:rFonts w:asciiTheme="minorHAnsi" w:hAnsiTheme="minorHAnsi"/>
                <w:sz w:val="22"/>
                <w:szCs w:val="22"/>
                <w:lang w:eastAsia="en-GB"/>
              </w:rPr>
              <w:t xml:space="preserve"> for advice and assistance. </w:t>
            </w:r>
          </w:p>
          <w:p w14:paraId="0E54795E" w14:textId="77777777" w:rsidR="00791053" w:rsidRPr="00267FD3" w:rsidRDefault="00791053" w:rsidP="0089682B">
            <w:pPr>
              <w:pStyle w:val="Default"/>
              <w:ind w:left="318" w:hanging="284"/>
              <w:rPr>
                <w:rFonts w:asciiTheme="minorHAnsi" w:hAnsiTheme="minorHAnsi"/>
                <w:sz w:val="22"/>
                <w:szCs w:val="22"/>
                <w:lang w:eastAsia="en-GB"/>
              </w:rPr>
            </w:pPr>
          </w:p>
          <w:p w14:paraId="59C0C717" w14:textId="77777777" w:rsidR="00791053" w:rsidRPr="00267FD3" w:rsidRDefault="00791053" w:rsidP="00267FD3">
            <w:pPr>
              <w:pStyle w:val="Default"/>
              <w:numPr>
                <w:ilvl w:val="0"/>
                <w:numId w:val="13"/>
              </w:numPr>
              <w:rPr>
                <w:rFonts w:asciiTheme="minorHAnsi" w:hAnsiTheme="minorHAnsi"/>
                <w:sz w:val="22"/>
                <w:szCs w:val="22"/>
                <w:lang w:eastAsia="en-GB"/>
              </w:rPr>
            </w:pPr>
            <w:r w:rsidRPr="00267FD3">
              <w:rPr>
                <w:rFonts w:asciiTheme="minorHAnsi" w:hAnsiTheme="minorHAnsi"/>
                <w:sz w:val="22"/>
                <w:szCs w:val="22"/>
                <w:lang w:eastAsia="en-GB"/>
              </w:rPr>
              <w:t>If at any time the borrower fails to comply with these conditions the University is entitled to terminate the loan agreement and deduct any outstanding amounts from any sums due to the borrower, including amounts due in respect of salary, and to demand immediate repayment of any sums not so discharged.</w:t>
            </w:r>
          </w:p>
          <w:p w14:paraId="53A2A32F" w14:textId="77777777" w:rsidR="00791053" w:rsidRPr="00267FD3" w:rsidRDefault="00791053" w:rsidP="0089682B">
            <w:pPr>
              <w:pStyle w:val="Default"/>
              <w:ind w:left="720"/>
              <w:rPr>
                <w:rFonts w:asciiTheme="minorHAnsi" w:hAnsiTheme="minorHAnsi"/>
                <w:sz w:val="22"/>
                <w:szCs w:val="22"/>
                <w:lang w:eastAsia="en-GB"/>
              </w:rPr>
            </w:pPr>
          </w:p>
          <w:p w14:paraId="215B1625" w14:textId="77777777" w:rsidR="00791053" w:rsidRPr="00267FD3" w:rsidRDefault="00791053" w:rsidP="002D4EFF">
            <w:pPr>
              <w:pStyle w:val="Default"/>
              <w:rPr>
                <w:rFonts w:asciiTheme="minorHAnsi" w:hAnsiTheme="minorHAnsi"/>
                <w:sz w:val="22"/>
                <w:szCs w:val="22"/>
                <w:lang w:eastAsia="en-GB"/>
              </w:rPr>
            </w:pPr>
          </w:p>
          <w:p w14:paraId="3E6D5BA3" w14:textId="77777777" w:rsidR="00791053" w:rsidRPr="00267FD3" w:rsidRDefault="00791053" w:rsidP="00F10343">
            <w:pPr>
              <w:autoSpaceDE w:val="0"/>
              <w:autoSpaceDN w:val="0"/>
              <w:adjustRightInd w:val="0"/>
              <w:spacing w:after="0" w:line="240" w:lineRule="auto"/>
              <w:rPr>
                <w:rFonts w:asciiTheme="minorHAnsi" w:hAnsiTheme="minorHAnsi" w:cs="SerifaBEFOP-Medium"/>
                <w:sz w:val="16"/>
                <w:szCs w:val="16"/>
                <w:lang w:eastAsia="en-GB"/>
              </w:rPr>
            </w:pPr>
          </w:p>
        </w:tc>
      </w:tr>
    </w:tbl>
    <w:p w14:paraId="26AD778F" w14:textId="77777777" w:rsidR="00791053" w:rsidRPr="008A078F" w:rsidRDefault="00791053" w:rsidP="00C725F0">
      <w:pPr>
        <w:pStyle w:val="Default"/>
        <w:rPr>
          <w:sz w:val="20"/>
          <w:szCs w:val="20"/>
          <w:lang w:eastAsia="en-GB"/>
        </w:rPr>
      </w:pPr>
    </w:p>
    <w:sectPr w:rsidR="00791053" w:rsidRPr="008A078F" w:rsidSect="00C31B7B">
      <w:pgSz w:w="11906" w:h="16838"/>
      <w:pgMar w:top="1135"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aBEFOP-Medium">
    <w:altName w:val="Calibri"/>
    <w:panose1 w:val="00000000000000000000"/>
    <w:charset w:val="00"/>
    <w:family w:val="modern"/>
    <w:notTrueType/>
    <w:pitch w:val="variable"/>
    <w:sig w:usb0="00000003" w:usb1="00000000" w:usb2="00000000" w:usb3="00000000" w:csb0="00000001" w:csb1="00000000"/>
  </w:font>
  <w:font w:name="SerifaBEFOP-Light">
    <w:altName w:val="SerifaBEFOP-Light"/>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2AC"/>
    <w:multiLevelType w:val="hybridMultilevel"/>
    <w:tmpl w:val="CC94CC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52E47ACE">
      <w:numFmt w:val="bullet"/>
      <w:lvlText w:val="-"/>
      <w:lvlJc w:val="left"/>
      <w:pPr>
        <w:ind w:left="2160" w:hanging="360"/>
      </w:pPr>
      <w:rPr>
        <w:rFonts w:ascii="Verdana" w:eastAsia="Times New Roman" w:hAnsi="Verdana"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8628A4"/>
    <w:multiLevelType w:val="hybridMultilevel"/>
    <w:tmpl w:val="17E63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821B9"/>
    <w:multiLevelType w:val="hybridMultilevel"/>
    <w:tmpl w:val="FD4E210E"/>
    <w:lvl w:ilvl="0" w:tplc="48B4A1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85F7C"/>
    <w:multiLevelType w:val="hybridMultilevel"/>
    <w:tmpl w:val="E836F9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995914"/>
    <w:multiLevelType w:val="hybridMultilevel"/>
    <w:tmpl w:val="433E2A28"/>
    <w:lvl w:ilvl="0" w:tplc="6A5E2756">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876D0"/>
    <w:multiLevelType w:val="hybridMultilevel"/>
    <w:tmpl w:val="A9C46532"/>
    <w:lvl w:ilvl="0" w:tplc="52E47ACE">
      <w:numFmt w:val="bullet"/>
      <w:lvlText w:val="-"/>
      <w:lvlJc w:val="left"/>
      <w:pPr>
        <w:ind w:left="720" w:hanging="360"/>
      </w:pPr>
      <w:rPr>
        <w:rFonts w:ascii="Verdana" w:eastAsia="Times New Roman"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755E2"/>
    <w:multiLevelType w:val="hybridMultilevel"/>
    <w:tmpl w:val="B0902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C73E4E"/>
    <w:multiLevelType w:val="hybridMultilevel"/>
    <w:tmpl w:val="E0FA8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3A6522"/>
    <w:multiLevelType w:val="hybridMultilevel"/>
    <w:tmpl w:val="2DA6B84C"/>
    <w:lvl w:ilvl="0" w:tplc="52E47ACE">
      <w:numFmt w:val="bullet"/>
      <w:lvlText w:val="-"/>
      <w:lvlJc w:val="left"/>
      <w:pPr>
        <w:ind w:left="720" w:hanging="360"/>
      </w:pPr>
      <w:rPr>
        <w:rFonts w:ascii="Verdana" w:eastAsia="Times New Roman" w:hAnsi="Verdana" w:hint="default"/>
      </w:rPr>
    </w:lvl>
    <w:lvl w:ilvl="1" w:tplc="52E47ACE">
      <w:numFmt w:val="bullet"/>
      <w:lvlText w:val="-"/>
      <w:lvlJc w:val="left"/>
      <w:pPr>
        <w:ind w:left="1440" w:hanging="360"/>
      </w:pPr>
      <w:rPr>
        <w:rFonts w:ascii="Verdana" w:eastAsia="Times New Roman" w:hAnsi="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50AF8"/>
    <w:multiLevelType w:val="hybridMultilevel"/>
    <w:tmpl w:val="4B48594E"/>
    <w:lvl w:ilvl="0" w:tplc="94BC86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974EE"/>
    <w:multiLevelType w:val="hybridMultilevel"/>
    <w:tmpl w:val="465CB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900BC"/>
    <w:multiLevelType w:val="hybridMultilevel"/>
    <w:tmpl w:val="BACC9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153E7B"/>
    <w:multiLevelType w:val="hybridMultilevel"/>
    <w:tmpl w:val="4D4CCBFE"/>
    <w:lvl w:ilvl="0" w:tplc="52E47ACE">
      <w:numFmt w:val="bullet"/>
      <w:lvlText w:val="-"/>
      <w:lvlJc w:val="left"/>
      <w:pPr>
        <w:ind w:left="720" w:hanging="360"/>
      </w:pPr>
      <w:rPr>
        <w:rFonts w:ascii="Verdana" w:eastAsia="Times New Roman" w:hAnsi="Verdana" w:hint="default"/>
      </w:rPr>
    </w:lvl>
    <w:lvl w:ilvl="1" w:tplc="08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071CB1"/>
    <w:multiLevelType w:val="hybridMultilevel"/>
    <w:tmpl w:val="F594F436"/>
    <w:lvl w:ilvl="0" w:tplc="08090001">
      <w:start w:val="1"/>
      <w:numFmt w:val="bullet"/>
      <w:lvlText w:val=""/>
      <w:lvlJc w:val="left"/>
      <w:pPr>
        <w:ind w:left="720" w:hanging="360"/>
      </w:pPr>
      <w:rPr>
        <w:rFonts w:ascii="Symbol" w:hAnsi="Symbol" w:cs="Symbol" w:hint="default"/>
      </w:rPr>
    </w:lvl>
    <w:lvl w:ilvl="1" w:tplc="52E47ACE">
      <w:numFmt w:val="bullet"/>
      <w:lvlText w:val="-"/>
      <w:lvlJc w:val="left"/>
      <w:pPr>
        <w:ind w:left="1440" w:hanging="360"/>
      </w:pPr>
      <w:rPr>
        <w:rFonts w:ascii="Verdana" w:eastAsia="Times New Roman" w:hAnsi="Verdana" w:hint="default"/>
      </w:rPr>
    </w:lvl>
    <w:lvl w:ilvl="2" w:tplc="52E47ACE">
      <w:numFmt w:val="bullet"/>
      <w:lvlText w:val="-"/>
      <w:lvlJc w:val="left"/>
      <w:pPr>
        <w:ind w:left="2160" w:hanging="360"/>
      </w:pPr>
      <w:rPr>
        <w:rFonts w:ascii="Verdana" w:eastAsia="Times New Roman" w:hAnsi="Verdana"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6D7E52"/>
    <w:multiLevelType w:val="hybridMultilevel"/>
    <w:tmpl w:val="E7AEA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4"/>
  </w:num>
  <w:num w:numId="5">
    <w:abstractNumId w:val="6"/>
  </w:num>
  <w:num w:numId="6">
    <w:abstractNumId w:val="1"/>
  </w:num>
  <w:num w:numId="7">
    <w:abstractNumId w:val="5"/>
  </w:num>
  <w:num w:numId="8">
    <w:abstractNumId w:val="8"/>
  </w:num>
  <w:num w:numId="9">
    <w:abstractNumId w:val="12"/>
  </w:num>
  <w:num w:numId="10">
    <w:abstractNumId w:val="9"/>
  </w:num>
  <w:num w:numId="11">
    <w:abstractNumId w:val="10"/>
  </w:num>
  <w:num w:numId="12">
    <w:abstractNumId w:val="4"/>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C5"/>
    <w:rsid w:val="00016A96"/>
    <w:rsid w:val="000362C7"/>
    <w:rsid w:val="00063491"/>
    <w:rsid w:val="000D76ED"/>
    <w:rsid w:val="000E5C8D"/>
    <w:rsid w:val="000E5ED4"/>
    <w:rsid w:val="000F279E"/>
    <w:rsid w:val="00112286"/>
    <w:rsid w:val="00116232"/>
    <w:rsid w:val="0013066A"/>
    <w:rsid w:val="001345B6"/>
    <w:rsid w:val="00143181"/>
    <w:rsid w:val="00146ABA"/>
    <w:rsid w:val="001542E4"/>
    <w:rsid w:val="0015720E"/>
    <w:rsid w:val="0016434B"/>
    <w:rsid w:val="00176463"/>
    <w:rsid w:val="0018435A"/>
    <w:rsid w:val="00192076"/>
    <w:rsid w:val="001A2294"/>
    <w:rsid w:val="001E6F4C"/>
    <w:rsid w:val="001F3C9B"/>
    <w:rsid w:val="00253F36"/>
    <w:rsid w:val="00254E8E"/>
    <w:rsid w:val="00264333"/>
    <w:rsid w:val="00267FD3"/>
    <w:rsid w:val="002852BC"/>
    <w:rsid w:val="00287725"/>
    <w:rsid w:val="00296F10"/>
    <w:rsid w:val="002C5603"/>
    <w:rsid w:val="002D0841"/>
    <w:rsid w:val="002D37DE"/>
    <w:rsid w:val="002D4EFF"/>
    <w:rsid w:val="003047BD"/>
    <w:rsid w:val="00310500"/>
    <w:rsid w:val="00310A33"/>
    <w:rsid w:val="00370BCB"/>
    <w:rsid w:val="00371E94"/>
    <w:rsid w:val="00393045"/>
    <w:rsid w:val="003C38EC"/>
    <w:rsid w:val="003D6028"/>
    <w:rsid w:val="003F263B"/>
    <w:rsid w:val="0040742A"/>
    <w:rsid w:val="0041124E"/>
    <w:rsid w:val="00423CDA"/>
    <w:rsid w:val="004564C9"/>
    <w:rsid w:val="004628CB"/>
    <w:rsid w:val="00474EB8"/>
    <w:rsid w:val="00476FEB"/>
    <w:rsid w:val="004A569F"/>
    <w:rsid w:val="004B094E"/>
    <w:rsid w:val="004C0710"/>
    <w:rsid w:val="004E152F"/>
    <w:rsid w:val="004F1CC5"/>
    <w:rsid w:val="004F6929"/>
    <w:rsid w:val="005102E1"/>
    <w:rsid w:val="005525AB"/>
    <w:rsid w:val="00561040"/>
    <w:rsid w:val="00595157"/>
    <w:rsid w:val="0059735D"/>
    <w:rsid w:val="005A47D5"/>
    <w:rsid w:val="005C26E0"/>
    <w:rsid w:val="00600892"/>
    <w:rsid w:val="00605B52"/>
    <w:rsid w:val="006078E1"/>
    <w:rsid w:val="00623EB6"/>
    <w:rsid w:val="00625CB5"/>
    <w:rsid w:val="00674CB2"/>
    <w:rsid w:val="00684E03"/>
    <w:rsid w:val="006C300F"/>
    <w:rsid w:val="006F6C72"/>
    <w:rsid w:val="006F700C"/>
    <w:rsid w:val="007216FB"/>
    <w:rsid w:val="00757D18"/>
    <w:rsid w:val="0078164C"/>
    <w:rsid w:val="00791053"/>
    <w:rsid w:val="007C6D04"/>
    <w:rsid w:val="007D3EDB"/>
    <w:rsid w:val="007D4AF3"/>
    <w:rsid w:val="007E1714"/>
    <w:rsid w:val="00807522"/>
    <w:rsid w:val="00816FB0"/>
    <w:rsid w:val="008208DE"/>
    <w:rsid w:val="0082129D"/>
    <w:rsid w:val="00827932"/>
    <w:rsid w:val="00840A91"/>
    <w:rsid w:val="0084757A"/>
    <w:rsid w:val="00880129"/>
    <w:rsid w:val="00880AF9"/>
    <w:rsid w:val="00881D69"/>
    <w:rsid w:val="00887CC6"/>
    <w:rsid w:val="008933D8"/>
    <w:rsid w:val="0089682B"/>
    <w:rsid w:val="00896B3F"/>
    <w:rsid w:val="008A078F"/>
    <w:rsid w:val="008B535B"/>
    <w:rsid w:val="008C087A"/>
    <w:rsid w:val="009319AF"/>
    <w:rsid w:val="0094287C"/>
    <w:rsid w:val="009569F5"/>
    <w:rsid w:val="0096435E"/>
    <w:rsid w:val="0097323D"/>
    <w:rsid w:val="0098033A"/>
    <w:rsid w:val="009A7744"/>
    <w:rsid w:val="009B3828"/>
    <w:rsid w:val="009E0EC2"/>
    <w:rsid w:val="009F0C69"/>
    <w:rsid w:val="00A30595"/>
    <w:rsid w:val="00A462BB"/>
    <w:rsid w:val="00A4650B"/>
    <w:rsid w:val="00AA5FC3"/>
    <w:rsid w:val="00AC1D0D"/>
    <w:rsid w:val="00AC3752"/>
    <w:rsid w:val="00AD30D5"/>
    <w:rsid w:val="00AD7697"/>
    <w:rsid w:val="00AF0E8D"/>
    <w:rsid w:val="00B00682"/>
    <w:rsid w:val="00B24531"/>
    <w:rsid w:val="00B53F35"/>
    <w:rsid w:val="00B75C50"/>
    <w:rsid w:val="00BD633F"/>
    <w:rsid w:val="00BE78B2"/>
    <w:rsid w:val="00C22EB0"/>
    <w:rsid w:val="00C31B7B"/>
    <w:rsid w:val="00C503AD"/>
    <w:rsid w:val="00C566D8"/>
    <w:rsid w:val="00C65939"/>
    <w:rsid w:val="00C66CEE"/>
    <w:rsid w:val="00C725F0"/>
    <w:rsid w:val="00C7560B"/>
    <w:rsid w:val="00CA4F44"/>
    <w:rsid w:val="00CB458F"/>
    <w:rsid w:val="00CC67AA"/>
    <w:rsid w:val="00CF265E"/>
    <w:rsid w:val="00CF3B56"/>
    <w:rsid w:val="00D21105"/>
    <w:rsid w:val="00D31F74"/>
    <w:rsid w:val="00D62F4A"/>
    <w:rsid w:val="00D73736"/>
    <w:rsid w:val="00D9110E"/>
    <w:rsid w:val="00DA0841"/>
    <w:rsid w:val="00DA1056"/>
    <w:rsid w:val="00DA1D12"/>
    <w:rsid w:val="00DA3AD6"/>
    <w:rsid w:val="00DD5C60"/>
    <w:rsid w:val="00DF38FE"/>
    <w:rsid w:val="00DF63ED"/>
    <w:rsid w:val="00E1104F"/>
    <w:rsid w:val="00E116F8"/>
    <w:rsid w:val="00E14BE8"/>
    <w:rsid w:val="00E2096E"/>
    <w:rsid w:val="00E35E15"/>
    <w:rsid w:val="00E701C2"/>
    <w:rsid w:val="00EA014F"/>
    <w:rsid w:val="00EA58C3"/>
    <w:rsid w:val="00EF7797"/>
    <w:rsid w:val="00F10343"/>
    <w:rsid w:val="00F23869"/>
    <w:rsid w:val="00F6763F"/>
    <w:rsid w:val="00F76BDD"/>
    <w:rsid w:val="00F85D69"/>
    <w:rsid w:val="00F96F4D"/>
    <w:rsid w:val="00FA4553"/>
    <w:rsid w:val="00FA60F8"/>
    <w:rsid w:val="00FB49FE"/>
    <w:rsid w:val="00FB7156"/>
    <w:rsid w:val="00FE5AF8"/>
    <w:rsid w:val="00FF4B4A"/>
    <w:rsid w:val="00FF5B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F6555"/>
  <w15:docId w15:val="{89313D6A-748B-4858-BA43-794039EC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D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F1CC5"/>
    <w:pPr>
      <w:autoSpaceDE w:val="0"/>
      <w:autoSpaceDN w:val="0"/>
      <w:adjustRightInd w:val="0"/>
    </w:pPr>
    <w:rPr>
      <w:rFonts w:ascii="SerifaBEFOP-Medium" w:hAnsi="SerifaBEFOP-Medium" w:cs="SerifaBEFOP-Medium"/>
      <w:color w:val="000000"/>
      <w:sz w:val="24"/>
      <w:szCs w:val="24"/>
      <w:lang w:eastAsia="en-US"/>
    </w:rPr>
  </w:style>
  <w:style w:type="table" w:styleId="TableGrid">
    <w:name w:val="Table Grid"/>
    <w:basedOn w:val="TableNormal"/>
    <w:uiPriority w:val="99"/>
    <w:rsid w:val="000D76E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9">
    <w:name w:val="CM19"/>
    <w:basedOn w:val="Default"/>
    <w:next w:val="Default"/>
    <w:uiPriority w:val="99"/>
    <w:rsid w:val="0059735D"/>
    <w:rPr>
      <w:rFonts w:ascii="SerifaBEFOP-Light" w:hAnsi="SerifaBEFOP-Light" w:cs="SerifaBEFOP-Light"/>
      <w:color w:val="auto"/>
    </w:rPr>
  </w:style>
  <w:style w:type="paragraph" w:styleId="NoSpacing">
    <w:name w:val="No Spacing"/>
    <w:uiPriority w:val="99"/>
    <w:qFormat/>
    <w:rsid w:val="0059735D"/>
    <w:rPr>
      <w:rFonts w:cs="Calibri"/>
      <w:sz w:val="22"/>
      <w:szCs w:val="22"/>
      <w:lang w:eastAsia="en-US"/>
    </w:rPr>
  </w:style>
  <w:style w:type="paragraph" w:customStyle="1" w:styleId="CM20">
    <w:name w:val="CM20"/>
    <w:basedOn w:val="Default"/>
    <w:next w:val="Default"/>
    <w:uiPriority w:val="99"/>
    <w:rsid w:val="0059735D"/>
    <w:rPr>
      <w:rFonts w:ascii="SerifaBEFOP-Light" w:hAnsi="SerifaBEFOP-Light" w:cs="SerifaBEFOP-Light"/>
      <w:color w:val="auto"/>
    </w:rPr>
  </w:style>
  <w:style w:type="paragraph" w:customStyle="1" w:styleId="CM21">
    <w:name w:val="CM21"/>
    <w:basedOn w:val="Default"/>
    <w:next w:val="Default"/>
    <w:uiPriority w:val="99"/>
    <w:rsid w:val="0059735D"/>
    <w:rPr>
      <w:rFonts w:ascii="SerifaBEFOP-Light" w:hAnsi="SerifaBEFOP-Light" w:cs="SerifaBEFOP-Light"/>
      <w:color w:val="auto"/>
    </w:rPr>
  </w:style>
  <w:style w:type="paragraph" w:styleId="ListParagraph">
    <w:name w:val="List Paragraph"/>
    <w:basedOn w:val="Normal"/>
    <w:uiPriority w:val="99"/>
    <w:qFormat/>
    <w:rsid w:val="00D9110E"/>
    <w:pPr>
      <w:ind w:left="720"/>
      <w:contextualSpacing/>
    </w:pPr>
  </w:style>
  <w:style w:type="character" w:styleId="Hyperlink">
    <w:name w:val="Hyperlink"/>
    <w:basedOn w:val="DefaultParagraphFont"/>
    <w:uiPriority w:val="99"/>
    <w:unhideWhenUsed/>
    <w:rsid w:val="004A569F"/>
    <w:rPr>
      <w:color w:val="0000FF"/>
      <w:u w:val="single"/>
    </w:rPr>
  </w:style>
  <w:style w:type="character" w:styleId="UnresolvedMention">
    <w:name w:val="Unresolved Mention"/>
    <w:basedOn w:val="DefaultParagraphFont"/>
    <w:uiPriority w:val="99"/>
    <w:semiHidden/>
    <w:unhideWhenUsed/>
    <w:rsid w:val="00130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ple-od.operations@manchester.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2540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FORM</vt:lpstr>
    </vt:vector>
  </TitlesOfParts>
  <Company>MMU</Company>
  <LinksUpToDate>false</LinksUpToDate>
  <CharactersWithSpaces>3016</CharactersWithSpaces>
  <SharedDoc>false</SharedDoc>
  <HLinks>
    <vt:vector size="6" baseType="variant">
      <vt:variant>
        <vt:i4>983163</vt:i4>
      </vt:variant>
      <vt:variant>
        <vt:i4>0</vt:i4>
      </vt:variant>
      <vt:variant>
        <vt:i4>0</vt:i4>
      </vt:variant>
      <vt:variant>
        <vt:i4>5</vt:i4>
      </vt:variant>
      <vt:variant>
        <vt:lpwstr>mailto:andrew.j.hough@manchester.ac.uk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All Saints User</dc:creator>
  <cp:lastModifiedBy>Sarah Kakanskas</cp:lastModifiedBy>
  <cp:revision>2</cp:revision>
  <cp:lastPrinted>2009-09-14T13:54:00Z</cp:lastPrinted>
  <dcterms:created xsi:type="dcterms:W3CDTF">2021-12-21T20:19:00Z</dcterms:created>
  <dcterms:modified xsi:type="dcterms:W3CDTF">2021-12-21T20:19:00Z</dcterms:modified>
</cp:coreProperties>
</file>